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766E6" w14:textId="1BE37D45" w:rsidR="008602DF" w:rsidRPr="00291FD2" w:rsidRDefault="008602DF" w:rsidP="008602DF">
      <w:pPr>
        <w:ind w:firstLine="567"/>
        <w:jc w:val="both"/>
        <w:rPr>
          <w:b/>
        </w:rPr>
      </w:pPr>
      <w:r w:rsidRPr="00291FD2">
        <w:rPr>
          <w:b/>
        </w:rPr>
        <w:t xml:space="preserve">                            </w:t>
      </w:r>
    </w:p>
    <w:p w14:paraId="30F6ECE6" w14:textId="77777777" w:rsidR="005C4E0D" w:rsidRPr="00FB202F" w:rsidRDefault="005C4E0D" w:rsidP="00FB202F">
      <w:pPr>
        <w:spacing w:after="0"/>
        <w:rPr>
          <w:rFonts w:ascii="Times New Roman" w:hAnsi="Times New Roman" w:cs="Times New Roman"/>
          <w:sz w:val="24"/>
          <w:szCs w:val="24"/>
        </w:rPr>
      </w:pPr>
    </w:p>
    <w:p w14:paraId="6D79878C" w14:textId="5A5BBE5E" w:rsidR="00A4595E" w:rsidRPr="00FB202F" w:rsidRDefault="00980866" w:rsidP="001B48E3">
      <w:pPr>
        <w:widowControl w:val="0"/>
        <w:autoSpaceDE w:val="0"/>
        <w:autoSpaceDN w:val="0"/>
        <w:adjustRightInd w:val="0"/>
        <w:spacing w:after="0"/>
        <w:ind w:firstLine="567"/>
        <w:jc w:val="right"/>
        <w:rPr>
          <w:rFonts w:ascii="Times New Roman" w:eastAsia="Calibri" w:hAnsi="Times New Roman" w:cs="Times New Roman"/>
          <w:b/>
          <w:iCs/>
          <w:sz w:val="24"/>
          <w:szCs w:val="24"/>
        </w:rPr>
      </w:pPr>
      <w:r w:rsidRPr="00FB202F">
        <w:rPr>
          <w:rFonts w:ascii="Times New Roman" w:eastAsia="Calibri" w:hAnsi="Times New Roman" w:cs="Times New Roman"/>
          <w:b/>
          <w:iCs/>
          <w:sz w:val="24"/>
          <w:szCs w:val="24"/>
        </w:rPr>
        <w:t xml:space="preserve">Приложение </w:t>
      </w:r>
      <w:r w:rsidR="003F42F9" w:rsidRPr="00FB202F">
        <w:rPr>
          <w:rFonts w:ascii="Times New Roman" w:eastAsia="Calibri" w:hAnsi="Times New Roman" w:cs="Times New Roman"/>
          <w:b/>
          <w:iCs/>
          <w:sz w:val="24"/>
          <w:szCs w:val="24"/>
        </w:rPr>
        <w:t xml:space="preserve">№ 1 </w:t>
      </w:r>
      <w:r w:rsidRPr="00FB202F">
        <w:rPr>
          <w:rFonts w:ascii="Times New Roman" w:eastAsia="Calibri" w:hAnsi="Times New Roman" w:cs="Times New Roman"/>
          <w:b/>
          <w:iCs/>
          <w:sz w:val="24"/>
          <w:szCs w:val="24"/>
        </w:rPr>
        <w:t>към</w:t>
      </w:r>
      <w:r w:rsidR="003F42F9" w:rsidRPr="00FB202F">
        <w:rPr>
          <w:rFonts w:ascii="Times New Roman" w:eastAsia="Calibri" w:hAnsi="Times New Roman" w:cs="Times New Roman"/>
          <w:b/>
          <w:iCs/>
          <w:sz w:val="24"/>
          <w:szCs w:val="24"/>
        </w:rPr>
        <w:t xml:space="preserve"> </w:t>
      </w:r>
      <w:r w:rsidRPr="00FB202F">
        <w:rPr>
          <w:rFonts w:ascii="Times New Roman" w:eastAsia="Calibri" w:hAnsi="Times New Roman" w:cs="Times New Roman"/>
          <w:b/>
          <w:iCs/>
          <w:sz w:val="24"/>
          <w:szCs w:val="24"/>
        </w:rPr>
        <w:t>Заповед ………………………………………………</w:t>
      </w:r>
    </w:p>
    <w:p w14:paraId="6A51E504" w14:textId="606FFDE9" w:rsidR="00A4595E" w:rsidRDefault="00A4595E" w:rsidP="007541D6">
      <w:pPr>
        <w:widowControl w:val="0"/>
        <w:autoSpaceDE w:val="0"/>
        <w:autoSpaceDN w:val="0"/>
        <w:adjustRightInd w:val="0"/>
        <w:spacing w:after="0"/>
        <w:ind w:firstLine="567"/>
        <w:jc w:val="center"/>
        <w:rPr>
          <w:rFonts w:ascii="Times New Roman" w:eastAsia="Calibri" w:hAnsi="Times New Roman" w:cs="Times New Roman"/>
          <w:b/>
          <w:iCs/>
          <w:sz w:val="24"/>
          <w:szCs w:val="24"/>
        </w:rPr>
      </w:pPr>
    </w:p>
    <w:p w14:paraId="436CB8B9" w14:textId="4CBF794A" w:rsidR="00D11541" w:rsidRDefault="00D11541" w:rsidP="007541D6">
      <w:pPr>
        <w:widowControl w:val="0"/>
        <w:autoSpaceDE w:val="0"/>
        <w:autoSpaceDN w:val="0"/>
        <w:adjustRightInd w:val="0"/>
        <w:spacing w:after="0"/>
        <w:ind w:firstLine="567"/>
        <w:jc w:val="center"/>
        <w:rPr>
          <w:rFonts w:ascii="Times New Roman" w:eastAsia="Calibri" w:hAnsi="Times New Roman" w:cs="Times New Roman"/>
          <w:b/>
          <w:iCs/>
          <w:sz w:val="24"/>
          <w:szCs w:val="24"/>
        </w:rPr>
      </w:pPr>
    </w:p>
    <w:p w14:paraId="715F6EC1" w14:textId="33DC3205" w:rsidR="00640AC8" w:rsidRDefault="00640AC8" w:rsidP="00D11541">
      <w:pPr>
        <w:widowControl w:val="0"/>
        <w:autoSpaceDE w:val="0"/>
        <w:autoSpaceDN w:val="0"/>
        <w:adjustRightInd w:val="0"/>
        <w:spacing w:after="0"/>
        <w:ind w:firstLine="567"/>
        <w:jc w:val="center"/>
        <w:rPr>
          <w:rFonts w:ascii="Times New Roman" w:eastAsia="Calibri" w:hAnsi="Times New Roman" w:cs="Times New Roman"/>
          <w:b/>
          <w:iCs/>
          <w:sz w:val="24"/>
          <w:szCs w:val="24"/>
        </w:rPr>
      </w:pPr>
    </w:p>
    <w:p w14:paraId="2177CBFA" w14:textId="7A96952B" w:rsidR="006B6B26" w:rsidRDefault="006B6B26" w:rsidP="00D11541">
      <w:pPr>
        <w:widowControl w:val="0"/>
        <w:autoSpaceDE w:val="0"/>
        <w:autoSpaceDN w:val="0"/>
        <w:adjustRightInd w:val="0"/>
        <w:spacing w:after="0"/>
        <w:ind w:firstLine="567"/>
        <w:jc w:val="center"/>
        <w:rPr>
          <w:rFonts w:ascii="Times New Roman" w:eastAsia="Calibri" w:hAnsi="Times New Roman" w:cs="Times New Roman"/>
          <w:b/>
          <w:iCs/>
          <w:sz w:val="24"/>
          <w:szCs w:val="24"/>
        </w:rPr>
      </w:pPr>
    </w:p>
    <w:p w14:paraId="7DE59511" w14:textId="623C83CD" w:rsidR="006B6B26" w:rsidRDefault="006B6B26" w:rsidP="00D11541">
      <w:pPr>
        <w:widowControl w:val="0"/>
        <w:autoSpaceDE w:val="0"/>
        <w:autoSpaceDN w:val="0"/>
        <w:adjustRightInd w:val="0"/>
        <w:spacing w:after="0"/>
        <w:ind w:firstLine="567"/>
        <w:jc w:val="center"/>
        <w:rPr>
          <w:rFonts w:ascii="Times New Roman" w:eastAsia="Calibri" w:hAnsi="Times New Roman" w:cs="Times New Roman"/>
          <w:b/>
          <w:iCs/>
          <w:sz w:val="24"/>
          <w:szCs w:val="24"/>
        </w:rPr>
      </w:pPr>
    </w:p>
    <w:p w14:paraId="46992783" w14:textId="77777777" w:rsidR="006B6B26" w:rsidRDefault="006B6B26" w:rsidP="00D11541">
      <w:pPr>
        <w:widowControl w:val="0"/>
        <w:autoSpaceDE w:val="0"/>
        <w:autoSpaceDN w:val="0"/>
        <w:adjustRightInd w:val="0"/>
        <w:spacing w:after="0"/>
        <w:ind w:firstLine="567"/>
        <w:jc w:val="center"/>
        <w:rPr>
          <w:rFonts w:ascii="Times New Roman" w:eastAsia="Calibri" w:hAnsi="Times New Roman" w:cs="Times New Roman"/>
          <w:b/>
          <w:iCs/>
          <w:sz w:val="24"/>
          <w:szCs w:val="24"/>
        </w:rPr>
      </w:pPr>
    </w:p>
    <w:p w14:paraId="5989696D" w14:textId="77777777" w:rsidR="00640AC8" w:rsidRPr="00FB202F" w:rsidRDefault="00640AC8" w:rsidP="00D11541">
      <w:pPr>
        <w:widowControl w:val="0"/>
        <w:autoSpaceDE w:val="0"/>
        <w:autoSpaceDN w:val="0"/>
        <w:adjustRightInd w:val="0"/>
        <w:spacing w:after="0"/>
        <w:ind w:firstLine="567"/>
        <w:jc w:val="center"/>
        <w:rPr>
          <w:rFonts w:ascii="Times New Roman" w:eastAsia="Calibri" w:hAnsi="Times New Roman" w:cs="Times New Roman"/>
          <w:b/>
          <w:iCs/>
          <w:sz w:val="24"/>
          <w:szCs w:val="24"/>
        </w:rPr>
      </w:pPr>
    </w:p>
    <w:tbl>
      <w:tblPr>
        <w:tblStyle w:val="TableGrid"/>
        <w:tblW w:w="0" w:type="auto"/>
        <w:shd w:val="clear" w:color="auto" w:fill="D9D9D9" w:themeFill="background1" w:themeFillShade="D9"/>
        <w:tblLook w:val="04A0" w:firstRow="1" w:lastRow="0" w:firstColumn="1" w:lastColumn="0" w:noHBand="0" w:noVBand="1"/>
      </w:tblPr>
      <w:tblGrid>
        <w:gridCol w:w="9772"/>
      </w:tblGrid>
      <w:tr w:rsidR="00D11541" w14:paraId="0901CA57" w14:textId="77777777" w:rsidTr="001E1620">
        <w:trPr>
          <w:trHeight w:val="4416"/>
        </w:trPr>
        <w:tc>
          <w:tcPr>
            <w:tcW w:w="9772" w:type="dxa"/>
            <w:shd w:val="clear" w:color="auto" w:fill="D9D9D9" w:themeFill="background1" w:themeFillShade="D9"/>
          </w:tcPr>
          <w:p w14:paraId="5820F3C7" w14:textId="77777777" w:rsidR="00D11541" w:rsidRDefault="00D11541">
            <w:pPr>
              <w:widowControl w:val="0"/>
              <w:autoSpaceDE w:val="0"/>
              <w:autoSpaceDN w:val="0"/>
              <w:adjustRightInd w:val="0"/>
              <w:jc w:val="center"/>
              <w:rPr>
                <w:rFonts w:ascii="Times New Roman" w:eastAsia="Calibri" w:hAnsi="Times New Roman" w:cs="Times New Roman"/>
                <w:b/>
                <w:iCs/>
                <w:sz w:val="24"/>
                <w:szCs w:val="24"/>
              </w:rPr>
            </w:pPr>
          </w:p>
          <w:p w14:paraId="5F144CC2" w14:textId="6BE493F1" w:rsidR="00D11541" w:rsidRPr="00D11541" w:rsidRDefault="00D11541" w:rsidP="00D11541">
            <w:pPr>
              <w:ind w:firstLine="567"/>
              <w:jc w:val="center"/>
              <w:rPr>
                <w:rFonts w:ascii="Times New Roman" w:eastAsia="Times New Roman" w:hAnsi="Times New Roman" w:cs="Times New Roman"/>
                <w:b/>
                <w:iCs/>
                <w:sz w:val="36"/>
                <w:szCs w:val="36"/>
              </w:rPr>
            </w:pPr>
            <w:r w:rsidRPr="00D11541">
              <w:rPr>
                <w:rFonts w:ascii="Times New Roman" w:eastAsia="Times New Roman" w:hAnsi="Times New Roman" w:cs="Times New Roman"/>
                <w:b/>
                <w:iCs/>
                <w:sz w:val="36"/>
                <w:szCs w:val="36"/>
              </w:rPr>
              <w:t>УСЛОВИЯ ЗА КАНДИДАТСТВАНЕ</w:t>
            </w:r>
          </w:p>
          <w:p w14:paraId="5591A188" w14:textId="43EA377C" w:rsidR="00D11541" w:rsidRDefault="00D11541" w:rsidP="00D11541">
            <w:pPr>
              <w:shd w:val="clear" w:color="auto" w:fill="D9D9D9" w:themeFill="background1" w:themeFillShade="D9"/>
              <w:jc w:val="center"/>
              <w:rPr>
                <w:rFonts w:ascii="Times New Roman" w:eastAsia="Times New Roman" w:hAnsi="Times New Roman" w:cs="Times New Roman"/>
                <w:b/>
                <w:bCs/>
                <w:iCs/>
                <w:sz w:val="24"/>
                <w:szCs w:val="24"/>
              </w:rPr>
            </w:pPr>
            <w:r w:rsidRPr="00D11541">
              <w:rPr>
                <w:rFonts w:ascii="Times New Roman" w:eastAsia="Times New Roman" w:hAnsi="Times New Roman" w:cs="Times New Roman"/>
                <w:b/>
                <w:bCs/>
                <w:iCs/>
                <w:sz w:val="24"/>
                <w:szCs w:val="24"/>
              </w:rPr>
              <w:t>за предоставяне на безвъзмездна финансова помощ по</w:t>
            </w:r>
          </w:p>
          <w:p w14:paraId="193D1AD5" w14:textId="77777777" w:rsidR="00D11541" w:rsidRDefault="00D11541" w:rsidP="00D11541">
            <w:pPr>
              <w:shd w:val="clear" w:color="auto" w:fill="D9D9D9" w:themeFill="background1" w:themeFillShade="D9"/>
              <w:jc w:val="center"/>
              <w:rPr>
                <w:rFonts w:ascii="Times New Roman" w:eastAsia="Times New Roman" w:hAnsi="Times New Roman" w:cs="Times New Roman"/>
                <w:b/>
                <w:bCs/>
                <w:iCs/>
                <w:sz w:val="24"/>
                <w:szCs w:val="24"/>
              </w:rPr>
            </w:pPr>
          </w:p>
          <w:p w14:paraId="6E1D98B4" w14:textId="77777777" w:rsidR="003C4B83" w:rsidRDefault="003C4B83" w:rsidP="00D11541">
            <w:pPr>
              <w:shd w:val="clear" w:color="auto" w:fill="D9D9D9" w:themeFill="background1" w:themeFillShade="D9"/>
              <w:jc w:val="center"/>
              <w:rPr>
                <w:rFonts w:ascii="Times New Roman" w:eastAsia="Times New Roman" w:hAnsi="Times New Roman" w:cs="Times New Roman"/>
                <w:b/>
                <w:bCs/>
                <w:iCs/>
                <w:sz w:val="24"/>
                <w:szCs w:val="24"/>
              </w:rPr>
            </w:pPr>
          </w:p>
          <w:p w14:paraId="0567AB2E" w14:textId="6A377F5A" w:rsidR="00D11541" w:rsidRDefault="00D11541" w:rsidP="00D11541">
            <w:pPr>
              <w:shd w:val="clear" w:color="auto" w:fill="D9D9D9" w:themeFill="background1" w:themeFillShade="D9"/>
              <w:jc w:val="center"/>
              <w:rPr>
                <w:rFonts w:ascii="Times New Roman" w:eastAsia="Times New Roman" w:hAnsi="Times New Roman" w:cs="Times New Roman"/>
                <w:b/>
                <w:bCs/>
                <w:iCs/>
                <w:sz w:val="24"/>
                <w:szCs w:val="24"/>
              </w:rPr>
            </w:pPr>
            <w:r w:rsidRPr="00D11541">
              <w:rPr>
                <w:rFonts w:ascii="Times New Roman" w:eastAsia="Times New Roman" w:hAnsi="Times New Roman" w:cs="Times New Roman"/>
                <w:b/>
                <w:bCs/>
                <w:iCs/>
                <w:sz w:val="24"/>
                <w:szCs w:val="24"/>
              </w:rPr>
              <w:t>процедура № …………………………………..</w:t>
            </w:r>
          </w:p>
          <w:p w14:paraId="6B8E6A71" w14:textId="77777777" w:rsidR="00D11541" w:rsidRDefault="00D11541" w:rsidP="00D11541">
            <w:pPr>
              <w:shd w:val="clear" w:color="auto" w:fill="D9D9D9" w:themeFill="background1" w:themeFillShade="D9"/>
              <w:jc w:val="center"/>
              <w:rPr>
                <w:rFonts w:ascii="Times New Roman" w:eastAsia="Times New Roman" w:hAnsi="Times New Roman" w:cs="Times New Roman"/>
                <w:b/>
                <w:bCs/>
                <w:iCs/>
                <w:sz w:val="24"/>
                <w:szCs w:val="24"/>
              </w:rPr>
            </w:pPr>
          </w:p>
          <w:p w14:paraId="15C99412" w14:textId="77777777" w:rsidR="003C4B83" w:rsidRDefault="003C4B83" w:rsidP="00D11541">
            <w:pPr>
              <w:shd w:val="clear" w:color="auto" w:fill="D9D9D9" w:themeFill="background1" w:themeFillShade="D9"/>
              <w:jc w:val="center"/>
              <w:rPr>
                <w:rFonts w:ascii="Times New Roman" w:eastAsia="Times New Roman" w:hAnsi="Times New Roman" w:cs="Times New Roman"/>
                <w:b/>
                <w:bCs/>
                <w:iCs/>
                <w:sz w:val="24"/>
                <w:szCs w:val="24"/>
              </w:rPr>
            </w:pPr>
          </w:p>
          <w:p w14:paraId="0C6D5BC7" w14:textId="65F39236" w:rsidR="00D11541" w:rsidRPr="00D11541" w:rsidRDefault="0066798F" w:rsidP="00D11541">
            <w:pPr>
              <w:shd w:val="clear" w:color="auto" w:fill="D9D9D9" w:themeFill="background1" w:themeFillShade="D9"/>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по интервенция </w:t>
            </w:r>
            <w:r w:rsidR="00D11541">
              <w:rPr>
                <w:rFonts w:ascii="Times New Roman" w:eastAsia="Times New Roman" w:hAnsi="Times New Roman" w:cs="Times New Roman"/>
                <w:b/>
                <w:bCs/>
                <w:iCs/>
                <w:sz w:val="24"/>
                <w:szCs w:val="24"/>
              </w:rPr>
              <w:t>„И</w:t>
            </w:r>
            <w:r w:rsidR="00D11541" w:rsidRPr="00D11541">
              <w:rPr>
                <w:rFonts w:ascii="Times New Roman" w:eastAsia="Times New Roman" w:hAnsi="Times New Roman" w:cs="Times New Roman"/>
                <w:b/>
                <w:bCs/>
                <w:iCs/>
                <w:sz w:val="24"/>
                <w:szCs w:val="24"/>
              </w:rPr>
              <w:t>зпълнение на операции, включително дейности за сътрудничество и тяхната подготовка, избрани в рамките на стра</w:t>
            </w:r>
            <w:r w:rsidR="00D11541">
              <w:rPr>
                <w:rFonts w:ascii="Times New Roman" w:eastAsia="Times New Roman" w:hAnsi="Times New Roman" w:cs="Times New Roman"/>
                <w:b/>
                <w:bCs/>
                <w:iCs/>
                <w:sz w:val="24"/>
                <w:szCs w:val="24"/>
              </w:rPr>
              <w:t>тегията за местно развитие“ от С</w:t>
            </w:r>
            <w:r w:rsidR="00D11541" w:rsidRPr="00D11541">
              <w:rPr>
                <w:rFonts w:ascii="Times New Roman" w:eastAsia="Times New Roman" w:hAnsi="Times New Roman" w:cs="Times New Roman"/>
                <w:b/>
                <w:bCs/>
                <w:iCs/>
                <w:sz w:val="24"/>
                <w:szCs w:val="24"/>
              </w:rPr>
              <w:t>тратегическия план за развитие на земеделието и селските райони на</w:t>
            </w:r>
            <w:r w:rsidR="00D11541">
              <w:rPr>
                <w:rFonts w:ascii="Times New Roman" w:eastAsia="Times New Roman" w:hAnsi="Times New Roman" w:cs="Times New Roman"/>
                <w:b/>
                <w:bCs/>
                <w:iCs/>
                <w:sz w:val="24"/>
                <w:szCs w:val="24"/>
              </w:rPr>
              <w:t xml:space="preserve"> Република Б</w:t>
            </w:r>
            <w:r w:rsidR="00D11541" w:rsidRPr="00D11541">
              <w:rPr>
                <w:rFonts w:ascii="Times New Roman" w:eastAsia="Times New Roman" w:hAnsi="Times New Roman" w:cs="Times New Roman"/>
                <w:b/>
                <w:bCs/>
                <w:iCs/>
                <w:sz w:val="24"/>
                <w:szCs w:val="24"/>
              </w:rPr>
              <w:t>ългария за периода 2023 – 2027 г.</w:t>
            </w:r>
          </w:p>
          <w:p w14:paraId="452CA17B" w14:textId="3BB8B90B" w:rsidR="00D11541" w:rsidRDefault="00D11541" w:rsidP="00113687">
            <w:pPr>
              <w:widowControl w:val="0"/>
              <w:autoSpaceDE w:val="0"/>
              <w:autoSpaceDN w:val="0"/>
              <w:adjustRightInd w:val="0"/>
              <w:rPr>
                <w:rFonts w:ascii="Times New Roman" w:eastAsia="Calibri" w:hAnsi="Times New Roman" w:cs="Times New Roman"/>
                <w:b/>
                <w:iCs/>
                <w:sz w:val="24"/>
                <w:szCs w:val="24"/>
              </w:rPr>
            </w:pPr>
          </w:p>
          <w:p w14:paraId="7DA39E6E" w14:textId="112EA2EA" w:rsidR="00D11541" w:rsidRDefault="00D11541">
            <w:pPr>
              <w:widowControl w:val="0"/>
              <w:autoSpaceDE w:val="0"/>
              <w:autoSpaceDN w:val="0"/>
              <w:adjustRightInd w:val="0"/>
              <w:jc w:val="center"/>
              <w:rPr>
                <w:rFonts w:ascii="Times New Roman" w:eastAsia="Calibri" w:hAnsi="Times New Roman" w:cs="Times New Roman"/>
                <w:b/>
                <w:iCs/>
                <w:sz w:val="24"/>
                <w:szCs w:val="24"/>
              </w:rPr>
            </w:pPr>
          </w:p>
        </w:tc>
      </w:tr>
    </w:tbl>
    <w:p w14:paraId="62CBBE84" w14:textId="4602117D" w:rsidR="00A4595E" w:rsidRDefault="00A4595E" w:rsidP="00D11541">
      <w:pPr>
        <w:widowControl w:val="0"/>
        <w:autoSpaceDE w:val="0"/>
        <w:autoSpaceDN w:val="0"/>
        <w:adjustRightInd w:val="0"/>
        <w:spacing w:after="0"/>
        <w:ind w:firstLine="567"/>
        <w:jc w:val="center"/>
        <w:rPr>
          <w:rFonts w:ascii="Times New Roman" w:eastAsia="Calibri" w:hAnsi="Times New Roman" w:cs="Times New Roman"/>
          <w:b/>
          <w:iCs/>
          <w:sz w:val="24"/>
          <w:szCs w:val="24"/>
        </w:rPr>
      </w:pPr>
    </w:p>
    <w:p w14:paraId="5865AF97" w14:textId="7363C397" w:rsidR="00D11541" w:rsidRDefault="00D11541" w:rsidP="00D11541">
      <w:pPr>
        <w:widowControl w:val="0"/>
        <w:autoSpaceDE w:val="0"/>
        <w:autoSpaceDN w:val="0"/>
        <w:adjustRightInd w:val="0"/>
        <w:spacing w:after="0"/>
        <w:ind w:firstLine="567"/>
        <w:jc w:val="center"/>
        <w:rPr>
          <w:rFonts w:ascii="Times New Roman" w:eastAsia="Calibri" w:hAnsi="Times New Roman" w:cs="Times New Roman"/>
          <w:b/>
          <w:iCs/>
          <w:sz w:val="24"/>
          <w:szCs w:val="24"/>
        </w:rPr>
      </w:pPr>
    </w:p>
    <w:p w14:paraId="5553688C" w14:textId="2659A155" w:rsidR="00D11541" w:rsidRDefault="00D11541" w:rsidP="0052329B">
      <w:pPr>
        <w:widowControl w:val="0"/>
        <w:autoSpaceDE w:val="0"/>
        <w:autoSpaceDN w:val="0"/>
        <w:adjustRightInd w:val="0"/>
        <w:spacing w:after="0"/>
        <w:ind w:firstLine="567"/>
        <w:jc w:val="center"/>
        <w:rPr>
          <w:rFonts w:ascii="Times New Roman" w:eastAsia="Calibri" w:hAnsi="Times New Roman" w:cs="Times New Roman"/>
          <w:b/>
          <w:iCs/>
          <w:sz w:val="24"/>
          <w:szCs w:val="24"/>
        </w:rPr>
      </w:pPr>
    </w:p>
    <w:p w14:paraId="578F08ED" w14:textId="19A1BEE0" w:rsidR="00D11541" w:rsidRDefault="00D11541" w:rsidP="0052329B">
      <w:pPr>
        <w:widowControl w:val="0"/>
        <w:autoSpaceDE w:val="0"/>
        <w:autoSpaceDN w:val="0"/>
        <w:adjustRightInd w:val="0"/>
        <w:spacing w:after="0"/>
        <w:ind w:firstLine="567"/>
        <w:jc w:val="center"/>
        <w:rPr>
          <w:rFonts w:ascii="Times New Roman" w:eastAsia="Calibri" w:hAnsi="Times New Roman" w:cs="Times New Roman"/>
          <w:b/>
          <w:iCs/>
          <w:sz w:val="24"/>
          <w:szCs w:val="24"/>
        </w:rPr>
      </w:pPr>
    </w:p>
    <w:p w14:paraId="6D244AD9" w14:textId="77777777" w:rsidR="00D11541" w:rsidRPr="00FB202F" w:rsidRDefault="00D11541" w:rsidP="0052329B">
      <w:pPr>
        <w:widowControl w:val="0"/>
        <w:autoSpaceDE w:val="0"/>
        <w:autoSpaceDN w:val="0"/>
        <w:adjustRightInd w:val="0"/>
        <w:spacing w:after="0"/>
        <w:ind w:firstLine="567"/>
        <w:jc w:val="center"/>
        <w:rPr>
          <w:rFonts w:ascii="Times New Roman" w:eastAsia="Calibri" w:hAnsi="Times New Roman" w:cs="Times New Roman"/>
          <w:b/>
          <w:iCs/>
          <w:sz w:val="24"/>
          <w:szCs w:val="24"/>
        </w:rPr>
      </w:pPr>
    </w:p>
    <w:p w14:paraId="26253CCD" w14:textId="77777777" w:rsidR="003935EC" w:rsidRPr="00FB202F" w:rsidRDefault="003935EC" w:rsidP="0052329B">
      <w:pPr>
        <w:spacing w:after="0"/>
        <w:ind w:firstLine="567"/>
        <w:jc w:val="center"/>
        <w:rPr>
          <w:rFonts w:ascii="Times New Roman" w:eastAsiaTheme="majorEastAsia" w:hAnsi="Times New Roman" w:cs="Times New Roman"/>
          <w:b/>
          <w:bCs/>
          <w:sz w:val="24"/>
          <w:szCs w:val="24"/>
        </w:rPr>
      </w:pPr>
    </w:p>
    <w:p w14:paraId="0E1FEB8E" w14:textId="4ACACCEE" w:rsidR="005548F7" w:rsidRDefault="005548F7" w:rsidP="0052329B">
      <w:pPr>
        <w:spacing w:after="0"/>
        <w:ind w:firstLine="567"/>
        <w:jc w:val="center"/>
        <w:rPr>
          <w:rFonts w:ascii="Times New Roman" w:eastAsiaTheme="majorEastAsia" w:hAnsi="Times New Roman" w:cs="Times New Roman"/>
          <w:b/>
          <w:bCs/>
          <w:sz w:val="24"/>
          <w:szCs w:val="24"/>
        </w:rPr>
      </w:pPr>
    </w:p>
    <w:p w14:paraId="6124ADA3" w14:textId="7F07BD46" w:rsidR="006B6B26" w:rsidRDefault="006B6B26" w:rsidP="0052329B">
      <w:pPr>
        <w:spacing w:after="0"/>
        <w:ind w:firstLine="567"/>
        <w:jc w:val="center"/>
        <w:rPr>
          <w:rFonts w:ascii="Times New Roman" w:eastAsiaTheme="majorEastAsia" w:hAnsi="Times New Roman" w:cs="Times New Roman"/>
          <w:b/>
          <w:bCs/>
          <w:sz w:val="24"/>
          <w:szCs w:val="24"/>
        </w:rPr>
      </w:pPr>
    </w:p>
    <w:p w14:paraId="66F52D26" w14:textId="77777777" w:rsidR="006B6B26" w:rsidRPr="00FB202F" w:rsidRDefault="006B6B26" w:rsidP="0052329B">
      <w:pPr>
        <w:spacing w:after="0"/>
        <w:ind w:firstLine="567"/>
        <w:jc w:val="center"/>
        <w:rPr>
          <w:rFonts w:ascii="Times New Roman" w:eastAsiaTheme="majorEastAsia" w:hAnsi="Times New Roman" w:cs="Times New Roman"/>
          <w:b/>
          <w:bCs/>
          <w:sz w:val="24"/>
          <w:szCs w:val="24"/>
        </w:rPr>
      </w:pPr>
    </w:p>
    <w:p w14:paraId="109BD1FC" w14:textId="48A901C5" w:rsidR="003935EC" w:rsidRPr="00FB202F" w:rsidRDefault="003935EC" w:rsidP="0052329B">
      <w:pPr>
        <w:spacing w:after="0"/>
        <w:ind w:firstLine="567"/>
        <w:jc w:val="center"/>
        <w:rPr>
          <w:rFonts w:ascii="Times New Roman" w:eastAsiaTheme="majorEastAsia" w:hAnsi="Times New Roman" w:cs="Times New Roman"/>
          <w:b/>
          <w:bCs/>
          <w:sz w:val="24"/>
          <w:szCs w:val="24"/>
        </w:rPr>
      </w:pPr>
    </w:p>
    <w:p w14:paraId="44D37089" w14:textId="77777777" w:rsidR="003935EC" w:rsidRPr="00FB202F" w:rsidRDefault="003935EC" w:rsidP="0052329B">
      <w:pPr>
        <w:spacing w:after="0"/>
        <w:ind w:firstLine="567"/>
        <w:jc w:val="center"/>
        <w:rPr>
          <w:rFonts w:ascii="Times New Roman" w:eastAsiaTheme="majorEastAsia" w:hAnsi="Times New Roman" w:cs="Times New Roman"/>
          <w:b/>
          <w:bCs/>
          <w:sz w:val="24"/>
          <w:szCs w:val="24"/>
        </w:rPr>
      </w:pPr>
    </w:p>
    <w:p w14:paraId="5A519687" w14:textId="77777777" w:rsidR="00F8267B" w:rsidRPr="00FB202F" w:rsidRDefault="00F8267B" w:rsidP="007541D6">
      <w:pPr>
        <w:spacing w:after="0"/>
        <w:ind w:firstLine="567"/>
        <w:jc w:val="both"/>
        <w:rPr>
          <w:rFonts w:ascii="Times New Roman" w:eastAsiaTheme="majorEastAsia" w:hAnsi="Times New Roman" w:cs="Times New Roman"/>
          <w:b/>
          <w:bCs/>
          <w:sz w:val="24"/>
          <w:szCs w:val="24"/>
        </w:rPr>
      </w:pPr>
    </w:p>
    <w:p w14:paraId="39815DC6" w14:textId="40BD2739" w:rsidR="008044CF" w:rsidRDefault="008044CF" w:rsidP="007541D6">
      <w:pPr>
        <w:spacing w:after="0"/>
        <w:ind w:firstLine="567"/>
        <w:jc w:val="both"/>
        <w:rPr>
          <w:rFonts w:ascii="Times New Roman" w:eastAsiaTheme="majorEastAsia" w:hAnsi="Times New Roman" w:cs="Times New Roman"/>
          <w:b/>
          <w:bCs/>
          <w:sz w:val="24"/>
          <w:szCs w:val="24"/>
        </w:rPr>
      </w:pPr>
    </w:p>
    <w:p w14:paraId="33969158" w14:textId="6BCA5AA8" w:rsidR="00640AC8" w:rsidRDefault="00640AC8" w:rsidP="007541D6">
      <w:pPr>
        <w:spacing w:after="0"/>
        <w:ind w:firstLine="567"/>
        <w:jc w:val="both"/>
        <w:rPr>
          <w:rFonts w:ascii="Times New Roman" w:eastAsiaTheme="majorEastAsia" w:hAnsi="Times New Roman" w:cs="Times New Roman"/>
          <w:b/>
          <w:bCs/>
          <w:sz w:val="24"/>
          <w:szCs w:val="24"/>
        </w:rPr>
      </w:pPr>
    </w:p>
    <w:p w14:paraId="4D04CDA0" w14:textId="77777777" w:rsidR="00640AC8" w:rsidRPr="00FB202F" w:rsidRDefault="00640AC8" w:rsidP="007541D6">
      <w:pPr>
        <w:spacing w:after="0"/>
        <w:ind w:firstLine="567"/>
        <w:jc w:val="both"/>
        <w:rPr>
          <w:rFonts w:ascii="Times New Roman" w:eastAsiaTheme="majorEastAsia" w:hAnsi="Times New Roman" w:cs="Times New Roman"/>
          <w:b/>
          <w:bCs/>
          <w:sz w:val="24"/>
          <w:szCs w:val="24"/>
        </w:rPr>
      </w:pPr>
    </w:p>
    <w:p w14:paraId="4E3AE688" w14:textId="77777777" w:rsidR="008044CF" w:rsidRPr="00FB202F" w:rsidRDefault="008044CF" w:rsidP="007541D6">
      <w:pPr>
        <w:spacing w:after="0"/>
        <w:ind w:firstLine="567"/>
        <w:jc w:val="both"/>
        <w:rPr>
          <w:rFonts w:ascii="Times New Roman" w:eastAsiaTheme="majorEastAsia" w:hAnsi="Times New Roman" w:cs="Times New Roman"/>
          <w:b/>
          <w:bCs/>
          <w:sz w:val="24"/>
          <w:szCs w:val="24"/>
          <w:highlight w:val="yellow"/>
        </w:rPr>
      </w:pPr>
    </w:p>
    <w:p w14:paraId="1DA0CBB6" w14:textId="77A245CB" w:rsidR="008044CF" w:rsidRPr="00FB202F" w:rsidRDefault="003935EC" w:rsidP="007541D6">
      <w:pPr>
        <w:spacing w:after="0"/>
        <w:ind w:firstLine="567"/>
        <w:jc w:val="center"/>
        <w:rPr>
          <w:rFonts w:ascii="Times New Roman" w:eastAsiaTheme="majorEastAsia" w:hAnsi="Times New Roman" w:cs="Times New Roman"/>
          <w:b/>
          <w:bCs/>
          <w:sz w:val="24"/>
          <w:szCs w:val="24"/>
        </w:rPr>
      </w:pPr>
      <w:r w:rsidRPr="00FB202F">
        <w:rPr>
          <w:rFonts w:ascii="Times New Roman" w:hAnsi="Times New Roman" w:cs="Times New Roman"/>
          <w:b/>
          <w:sz w:val="24"/>
          <w:szCs w:val="24"/>
        </w:rPr>
        <w:t xml:space="preserve"> </w:t>
      </w:r>
      <w:r w:rsidR="008044CF" w:rsidRPr="00FB202F">
        <w:rPr>
          <w:rFonts w:ascii="Times New Roman" w:eastAsiaTheme="majorEastAsia" w:hAnsi="Times New Roman" w:cs="Times New Roman"/>
          <w:b/>
          <w:bCs/>
          <w:sz w:val="24"/>
          <w:szCs w:val="24"/>
        </w:rPr>
        <w:t>202</w:t>
      </w:r>
      <w:r w:rsidR="00D11541">
        <w:rPr>
          <w:rFonts w:ascii="Times New Roman" w:eastAsiaTheme="majorEastAsia" w:hAnsi="Times New Roman" w:cs="Times New Roman"/>
          <w:b/>
          <w:bCs/>
          <w:sz w:val="24"/>
          <w:szCs w:val="24"/>
        </w:rPr>
        <w:t>5</w:t>
      </w:r>
      <w:r w:rsidR="008044CF" w:rsidRPr="00FB202F">
        <w:rPr>
          <w:rFonts w:ascii="Times New Roman" w:eastAsiaTheme="majorEastAsia" w:hAnsi="Times New Roman" w:cs="Times New Roman"/>
          <w:b/>
          <w:bCs/>
          <w:sz w:val="24"/>
          <w:szCs w:val="24"/>
        </w:rPr>
        <w:t xml:space="preserve"> г.</w:t>
      </w:r>
    </w:p>
    <w:p w14:paraId="76173A99" w14:textId="6FA3B5B4" w:rsidR="003935EC" w:rsidRDefault="003935EC" w:rsidP="003C4B83">
      <w:pPr>
        <w:tabs>
          <w:tab w:val="left" w:pos="426"/>
        </w:tabs>
        <w:spacing w:after="0"/>
        <w:ind w:firstLine="567"/>
        <w:contextualSpacing/>
        <w:jc w:val="both"/>
        <w:rPr>
          <w:rFonts w:ascii="Times New Roman" w:hAnsi="Times New Roman" w:cs="Times New Roman"/>
          <w:sz w:val="24"/>
          <w:szCs w:val="24"/>
          <w:highlight w:val="yellow"/>
        </w:rPr>
      </w:pPr>
    </w:p>
    <w:p w14:paraId="767EAE27" w14:textId="6C0B9420" w:rsidR="003C4B83" w:rsidRDefault="003C4B83" w:rsidP="003C4B83">
      <w:pPr>
        <w:tabs>
          <w:tab w:val="left" w:pos="426"/>
        </w:tabs>
        <w:spacing w:after="0"/>
        <w:ind w:firstLine="567"/>
        <w:contextualSpacing/>
        <w:jc w:val="both"/>
        <w:rPr>
          <w:rFonts w:ascii="Times New Roman" w:hAnsi="Times New Roman" w:cs="Times New Roman"/>
          <w:sz w:val="24"/>
          <w:szCs w:val="24"/>
          <w:highlight w:val="yellow"/>
        </w:rPr>
      </w:pPr>
    </w:p>
    <w:p w14:paraId="133E8EDB" w14:textId="458912AA" w:rsidR="003C4B83" w:rsidRDefault="003C4B83" w:rsidP="003C4B83">
      <w:pPr>
        <w:tabs>
          <w:tab w:val="left" w:pos="426"/>
        </w:tabs>
        <w:spacing w:after="0"/>
        <w:ind w:firstLine="567"/>
        <w:contextualSpacing/>
        <w:jc w:val="both"/>
        <w:rPr>
          <w:rFonts w:ascii="Times New Roman" w:hAnsi="Times New Roman" w:cs="Times New Roman"/>
          <w:sz w:val="24"/>
          <w:szCs w:val="24"/>
          <w:highlight w:val="yellow"/>
        </w:rPr>
      </w:pPr>
    </w:p>
    <w:p w14:paraId="369DE3E4" w14:textId="77777777" w:rsidR="003C4B83" w:rsidRPr="00FB202F" w:rsidRDefault="003C4B83" w:rsidP="007541D6">
      <w:pPr>
        <w:tabs>
          <w:tab w:val="left" w:pos="426"/>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6C7D7F0B" w14:textId="77777777" w:rsidTr="000D7565">
        <w:tc>
          <w:tcPr>
            <w:tcW w:w="9781" w:type="dxa"/>
          </w:tcPr>
          <w:p w14:paraId="743007B9" w14:textId="77777777" w:rsidR="003935EC" w:rsidRPr="00FB202F" w:rsidRDefault="003935EC" w:rsidP="007541D6">
            <w:pPr>
              <w:numPr>
                <w:ilvl w:val="0"/>
                <w:numId w:val="1"/>
              </w:numPr>
              <w:tabs>
                <w:tab w:val="left" w:pos="0"/>
              </w:tabs>
              <w:spacing w:line="276" w:lineRule="auto"/>
              <w:ind w:left="0" w:firstLine="567"/>
              <w:contextualSpacing/>
              <w:jc w:val="both"/>
              <w:rPr>
                <w:rFonts w:ascii="Times New Roman" w:hAnsi="Times New Roman" w:cs="Times New Roman"/>
                <w:b/>
                <w:sz w:val="24"/>
                <w:szCs w:val="24"/>
              </w:rPr>
            </w:pPr>
            <w:r w:rsidRPr="00FB202F">
              <w:rPr>
                <w:rFonts w:ascii="Times New Roman" w:hAnsi="Times New Roman" w:cs="Times New Roman"/>
                <w:b/>
                <w:sz w:val="24"/>
                <w:szCs w:val="24"/>
              </w:rPr>
              <w:t>Наименование на програмата:</w:t>
            </w:r>
          </w:p>
          <w:p w14:paraId="11FFAC0F" w14:textId="7A454A81" w:rsidR="00BA1719" w:rsidRPr="00FB202F" w:rsidRDefault="00BA1719" w:rsidP="007541D6">
            <w:pPr>
              <w:widowControl w:val="0"/>
              <w:autoSpaceDE w:val="0"/>
              <w:autoSpaceDN w:val="0"/>
              <w:adjustRightInd w:val="0"/>
              <w:spacing w:line="276" w:lineRule="auto"/>
              <w:ind w:firstLine="567"/>
              <w:jc w:val="both"/>
              <w:rPr>
                <w:rFonts w:ascii="Times New Roman" w:hAnsi="Times New Roman" w:cs="Times New Roman"/>
                <w:bCs/>
                <w:sz w:val="24"/>
                <w:szCs w:val="24"/>
              </w:rPr>
            </w:pPr>
            <w:r w:rsidRPr="00FB202F">
              <w:rPr>
                <w:rFonts w:ascii="Times New Roman" w:hAnsi="Times New Roman" w:cs="Times New Roman"/>
                <w:bCs/>
                <w:sz w:val="24"/>
                <w:szCs w:val="24"/>
              </w:rPr>
              <w:t>Стратегически план за развитие на земеделието и селските райони за периода 2023-2027 г. (СПРЗСР).</w:t>
            </w:r>
          </w:p>
          <w:p w14:paraId="1512F4C5" w14:textId="77777777" w:rsidR="00B92618" w:rsidRPr="00B92618" w:rsidRDefault="00B92618" w:rsidP="00B92618">
            <w:pPr>
              <w:widowControl w:val="0"/>
              <w:autoSpaceDE w:val="0"/>
              <w:autoSpaceDN w:val="0"/>
              <w:adjustRightInd w:val="0"/>
              <w:spacing w:line="276" w:lineRule="auto"/>
              <w:ind w:firstLine="567"/>
              <w:jc w:val="both"/>
              <w:rPr>
                <w:rFonts w:ascii="Times New Roman" w:hAnsi="Times New Roman" w:cs="Times New Roman"/>
                <w:bCs/>
                <w:sz w:val="24"/>
                <w:szCs w:val="24"/>
              </w:rPr>
            </w:pPr>
            <w:r w:rsidRPr="00B92618">
              <w:rPr>
                <w:rFonts w:ascii="Times New Roman" w:hAnsi="Times New Roman" w:cs="Times New Roman"/>
                <w:bCs/>
                <w:sz w:val="24"/>
                <w:szCs w:val="24"/>
              </w:rPr>
              <w:t xml:space="preserve">Допълващо финансиране съгласно Постановление № 494 от 2024 г. на Министерския съвет за определяне на правила за прилагане на подхода „Водено от общностите местно развитие“ за периода 2021-2027 г. </w:t>
            </w:r>
            <w:r w:rsidRPr="00B92618">
              <w:rPr>
                <w:rFonts w:ascii="Times New Roman" w:hAnsi="Times New Roman" w:cs="Times New Roman"/>
                <w:bCs/>
                <w:sz w:val="24"/>
                <w:szCs w:val="24"/>
                <w:lang w:val="en-US"/>
              </w:rPr>
              <w:t>(</w:t>
            </w:r>
            <w:r w:rsidRPr="00B92618">
              <w:rPr>
                <w:rFonts w:ascii="Times New Roman" w:hAnsi="Times New Roman" w:cs="Times New Roman"/>
                <w:bCs/>
                <w:sz w:val="24"/>
                <w:szCs w:val="24"/>
              </w:rPr>
              <w:t>обн., ДВ, бр. 1 от 2025 г.</w:t>
            </w:r>
            <w:r w:rsidRPr="00B92618">
              <w:rPr>
                <w:rFonts w:ascii="Times New Roman" w:hAnsi="Times New Roman" w:cs="Times New Roman"/>
                <w:bCs/>
                <w:sz w:val="24"/>
                <w:szCs w:val="24"/>
                <w:lang w:val="en-US"/>
              </w:rPr>
              <w:t>)</w:t>
            </w:r>
            <w:r w:rsidRPr="00B92618">
              <w:rPr>
                <w:rFonts w:ascii="Times New Roman" w:hAnsi="Times New Roman" w:cs="Times New Roman"/>
                <w:bCs/>
                <w:sz w:val="24"/>
                <w:szCs w:val="24"/>
              </w:rPr>
              <w:t xml:space="preserve">, наричано по-нататък „ПМС № </w:t>
            </w:r>
            <w:r w:rsidRPr="00B92618">
              <w:rPr>
                <w:rFonts w:ascii="Times New Roman" w:hAnsi="Times New Roman" w:cs="Times New Roman"/>
                <w:bCs/>
                <w:sz w:val="24"/>
                <w:szCs w:val="24"/>
                <w:lang w:val="en-US"/>
              </w:rPr>
              <w:t>4</w:t>
            </w:r>
            <w:r w:rsidRPr="00B92618">
              <w:rPr>
                <w:rFonts w:ascii="Times New Roman" w:hAnsi="Times New Roman" w:cs="Times New Roman"/>
                <w:bCs/>
                <w:sz w:val="24"/>
                <w:szCs w:val="24"/>
              </w:rPr>
              <w:t>94 от 2024 г.“ се осигурява от:</w:t>
            </w:r>
          </w:p>
          <w:p w14:paraId="0D6B4D45" w14:textId="4F482AC7" w:rsidR="00BA1719" w:rsidRPr="00FB202F" w:rsidRDefault="00BA1719" w:rsidP="007541D6">
            <w:pPr>
              <w:widowControl w:val="0"/>
              <w:autoSpaceDE w:val="0"/>
              <w:autoSpaceDN w:val="0"/>
              <w:adjustRightInd w:val="0"/>
              <w:spacing w:line="276" w:lineRule="auto"/>
              <w:ind w:firstLine="567"/>
              <w:jc w:val="both"/>
              <w:rPr>
                <w:rFonts w:ascii="Times New Roman" w:hAnsi="Times New Roman" w:cs="Times New Roman"/>
                <w:bCs/>
                <w:sz w:val="24"/>
                <w:szCs w:val="24"/>
              </w:rPr>
            </w:pPr>
            <w:r w:rsidRPr="00FB202F">
              <w:rPr>
                <w:rFonts w:ascii="Times New Roman" w:hAnsi="Times New Roman" w:cs="Times New Roman"/>
                <w:bCs/>
                <w:sz w:val="24"/>
                <w:szCs w:val="24"/>
              </w:rPr>
              <w:t>1. Програма „Развитие на човешките ресурси“ за периода 2021</w:t>
            </w:r>
            <w:r w:rsidR="00BE7246">
              <w:rPr>
                <w:rFonts w:ascii="Times New Roman" w:hAnsi="Times New Roman" w:cs="Times New Roman"/>
                <w:bCs/>
                <w:sz w:val="24"/>
                <w:szCs w:val="24"/>
              </w:rPr>
              <w:t>-</w:t>
            </w:r>
            <w:r w:rsidRPr="00FB202F">
              <w:rPr>
                <w:rFonts w:ascii="Times New Roman" w:hAnsi="Times New Roman" w:cs="Times New Roman"/>
                <w:bCs/>
                <w:sz w:val="24"/>
                <w:szCs w:val="24"/>
              </w:rPr>
              <w:t>2027 г.;</w:t>
            </w:r>
          </w:p>
          <w:p w14:paraId="6880014B" w14:textId="2BC56006" w:rsidR="00BA1719" w:rsidRPr="00FB202F" w:rsidRDefault="00BA1719" w:rsidP="007541D6">
            <w:pPr>
              <w:widowControl w:val="0"/>
              <w:autoSpaceDE w:val="0"/>
              <w:autoSpaceDN w:val="0"/>
              <w:adjustRightInd w:val="0"/>
              <w:spacing w:line="276" w:lineRule="auto"/>
              <w:ind w:firstLine="567"/>
              <w:jc w:val="both"/>
              <w:rPr>
                <w:rFonts w:ascii="Times New Roman" w:hAnsi="Times New Roman" w:cs="Times New Roman"/>
                <w:bCs/>
                <w:sz w:val="24"/>
                <w:szCs w:val="24"/>
              </w:rPr>
            </w:pPr>
            <w:r w:rsidRPr="00FB202F">
              <w:rPr>
                <w:rFonts w:ascii="Times New Roman" w:hAnsi="Times New Roman" w:cs="Times New Roman"/>
                <w:bCs/>
                <w:sz w:val="24"/>
                <w:szCs w:val="24"/>
              </w:rPr>
              <w:t>2. Програма „Околна среда“ за периода 2021</w:t>
            </w:r>
            <w:r w:rsidR="00BE7246">
              <w:rPr>
                <w:rFonts w:ascii="Times New Roman" w:hAnsi="Times New Roman" w:cs="Times New Roman"/>
                <w:bCs/>
                <w:sz w:val="24"/>
                <w:szCs w:val="24"/>
              </w:rPr>
              <w:t>-</w:t>
            </w:r>
            <w:r w:rsidRPr="00FB202F">
              <w:rPr>
                <w:rFonts w:ascii="Times New Roman" w:hAnsi="Times New Roman" w:cs="Times New Roman"/>
                <w:bCs/>
                <w:sz w:val="24"/>
                <w:szCs w:val="24"/>
              </w:rPr>
              <w:t>–2027 г.;</w:t>
            </w:r>
          </w:p>
          <w:p w14:paraId="11BE810D" w14:textId="2F537244" w:rsidR="00BA1719" w:rsidRPr="00FB202F" w:rsidRDefault="00BA1719" w:rsidP="007541D6">
            <w:pPr>
              <w:widowControl w:val="0"/>
              <w:autoSpaceDE w:val="0"/>
              <w:autoSpaceDN w:val="0"/>
              <w:adjustRightInd w:val="0"/>
              <w:spacing w:line="276" w:lineRule="auto"/>
              <w:ind w:firstLine="567"/>
              <w:jc w:val="both"/>
              <w:rPr>
                <w:rFonts w:ascii="Times New Roman" w:hAnsi="Times New Roman" w:cs="Times New Roman"/>
                <w:bCs/>
                <w:sz w:val="24"/>
                <w:szCs w:val="24"/>
              </w:rPr>
            </w:pPr>
            <w:r w:rsidRPr="00FB202F">
              <w:rPr>
                <w:rFonts w:ascii="Times New Roman" w:hAnsi="Times New Roman" w:cs="Times New Roman"/>
                <w:bCs/>
                <w:sz w:val="24"/>
                <w:szCs w:val="24"/>
              </w:rPr>
              <w:t>3. Програма „Конкурентоспособност и иновации в предприятията“ за периода 2021–2027 г.;</w:t>
            </w:r>
          </w:p>
          <w:p w14:paraId="71A5460E" w14:textId="2D8E627C" w:rsidR="003935EC" w:rsidRPr="00FB202F" w:rsidRDefault="00BA1719" w:rsidP="007541D6">
            <w:pPr>
              <w:widowControl w:val="0"/>
              <w:autoSpaceDE w:val="0"/>
              <w:autoSpaceDN w:val="0"/>
              <w:adjustRightInd w:val="0"/>
              <w:spacing w:line="276" w:lineRule="auto"/>
              <w:ind w:firstLine="567"/>
              <w:jc w:val="both"/>
              <w:rPr>
                <w:rFonts w:ascii="Times New Roman" w:eastAsia="Times New Roman" w:hAnsi="Times New Roman" w:cs="Times New Roman"/>
                <w:sz w:val="24"/>
                <w:szCs w:val="24"/>
                <w:highlight w:val="yellow"/>
                <w:shd w:val="clear" w:color="auto" w:fill="FEFEFE"/>
                <w:lang w:eastAsia="bg-BG"/>
              </w:rPr>
            </w:pPr>
            <w:r w:rsidRPr="00FB202F">
              <w:rPr>
                <w:rFonts w:ascii="Times New Roman" w:hAnsi="Times New Roman" w:cs="Times New Roman"/>
                <w:bCs/>
                <w:sz w:val="24"/>
                <w:szCs w:val="24"/>
              </w:rPr>
              <w:t>4. Програма „Образование“ за периода 2021–2027 г.</w:t>
            </w:r>
          </w:p>
        </w:tc>
      </w:tr>
    </w:tbl>
    <w:p w14:paraId="257FC1DB"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2934F461" w14:textId="77777777" w:rsidTr="000D7565">
        <w:tc>
          <w:tcPr>
            <w:tcW w:w="9781" w:type="dxa"/>
          </w:tcPr>
          <w:p w14:paraId="313CC7F3" w14:textId="77777777" w:rsidR="003935EC" w:rsidRPr="00086624" w:rsidRDefault="003935EC" w:rsidP="007541D6">
            <w:pPr>
              <w:numPr>
                <w:ilvl w:val="0"/>
                <w:numId w:val="1"/>
              </w:numPr>
              <w:tabs>
                <w:tab w:val="left" w:pos="0"/>
              </w:tabs>
              <w:spacing w:line="276" w:lineRule="auto"/>
              <w:ind w:left="0" w:firstLine="567"/>
              <w:contextualSpacing/>
              <w:jc w:val="both"/>
              <w:rPr>
                <w:rFonts w:ascii="Times New Roman" w:hAnsi="Times New Roman" w:cs="Times New Roman"/>
                <w:b/>
                <w:sz w:val="24"/>
                <w:szCs w:val="24"/>
              </w:rPr>
            </w:pPr>
            <w:r w:rsidRPr="00086624">
              <w:rPr>
                <w:rFonts w:ascii="Times New Roman" w:hAnsi="Times New Roman" w:cs="Times New Roman"/>
                <w:b/>
                <w:sz w:val="24"/>
                <w:szCs w:val="24"/>
              </w:rPr>
              <w:t>Наименование на приоритетната ос:</w:t>
            </w:r>
          </w:p>
          <w:p w14:paraId="4AF4B79E" w14:textId="4A64E991" w:rsidR="003935EC" w:rsidRPr="0060581B" w:rsidRDefault="00086624" w:rsidP="007541D6">
            <w:pPr>
              <w:widowControl w:val="0"/>
              <w:autoSpaceDE w:val="0"/>
              <w:autoSpaceDN w:val="0"/>
              <w:adjustRightInd w:val="0"/>
              <w:spacing w:after="200" w:line="276" w:lineRule="auto"/>
              <w:ind w:firstLine="567"/>
              <w:jc w:val="both"/>
              <w:rPr>
                <w:rFonts w:ascii="Times New Roman" w:hAnsi="Times New Roman" w:cs="Times New Roman"/>
                <w:sz w:val="24"/>
                <w:szCs w:val="24"/>
              </w:rPr>
            </w:pPr>
            <w:r w:rsidRPr="0060581B">
              <w:rPr>
                <w:rFonts w:ascii="Times New Roman" w:hAnsi="Times New Roman" w:cs="Times New Roman"/>
                <w:sz w:val="24"/>
                <w:szCs w:val="24"/>
              </w:rPr>
              <w:t>НЕПРИЛОЖИМО</w:t>
            </w:r>
          </w:p>
        </w:tc>
      </w:tr>
    </w:tbl>
    <w:p w14:paraId="6F8FE7C1"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ayout w:type="fixed"/>
        <w:tblLook w:val="04A0" w:firstRow="1" w:lastRow="0" w:firstColumn="1" w:lastColumn="0" w:noHBand="0" w:noVBand="1"/>
      </w:tblPr>
      <w:tblGrid>
        <w:gridCol w:w="9781"/>
      </w:tblGrid>
      <w:tr w:rsidR="00FB202F" w:rsidRPr="00FB202F" w14:paraId="6C660A4F" w14:textId="77777777" w:rsidTr="00744AEE">
        <w:tc>
          <w:tcPr>
            <w:tcW w:w="9781" w:type="dxa"/>
          </w:tcPr>
          <w:p w14:paraId="7EBAD1FE" w14:textId="77777777" w:rsidR="003935EC" w:rsidRPr="00FB202F" w:rsidRDefault="003935EC" w:rsidP="007541D6">
            <w:pPr>
              <w:numPr>
                <w:ilvl w:val="0"/>
                <w:numId w:val="1"/>
              </w:numPr>
              <w:tabs>
                <w:tab w:val="left" w:pos="0"/>
                <w:tab w:val="left" w:pos="142"/>
              </w:tabs>
              <w:spacing w:line="276" w:lineRule="auto"/>
              <w:ind w:left="0" w:firstLine="567"/>
              <w:contextualSpacing/>
              <w:jc w:val="both"/>
              <w:rPr>
                <w:rFonts w:ascii="Times New Roman" w:hAnsi="Times New Roman" w:cs="Times New Roman"/>
                <w:b/>
                <w:sz w:val="24"/>
                <w:szCs w:val="24"/>
              </w:rPr>
            </w:pPr>
            <w:r w:rsidRPr="00FB202F">
              <w:rPr>
                <w:rFonts w:ascii="Times New Roman" w:hAnsi="Times New Roman" w:cs="Times New Roman"/>
                <w:b/>
                <w:sz w:val="24"/>
                <w:szCs w:val="24"/>
              </w:rPr>
              <w:t>Наименование на процедурата:</w:t>
            </w:r>
          </w:p>
          <w:p w14:paraId="6016F947" w14:textId="65BCA443" w:rsidR="003935EC" w:rsidRPr="00FB202F" w:rsidRDefault="003935EC" w:rsidP="007541D6">
            <w:pPr>
              <w:tabs>
                <w:tab w:val="left" w:pos="0"/>
                <w:tab w:val="left" w:pos="142"/>
              </w:tabs>
              <w:spacing w:line="276" w:lineRule="auto"/>
              <w:ind w:firstLine="567"/>
              <w:contextualSpacing/>
              <w:jc w:val="both"/>
              <w:rPr>
                <w:rFonts w:ascii="Times New Roman" w:hAnsi="Times New Roman" w:cs="Times New Roman"/>
                <w:sz w:val="24"/>
                <w:szCs w:val="24"/>
                <w:highlight w:val="yellow"/>
              </w:rPr>
            </w:pPr>
            <w:r w:rsidRPr="00FB202F">
              <w:rPr>
                <w:rFonts w:ascii="Times New Roman" w:hAnsi="Times New Roman" w:cs="Times New Roman"/>
                <w:sz w:val="24"/>
                <w:szCs w:val="24"/>
              </w:rPr>
              <w:t xml:space="preserve">Подбор на </w:t>
            </w:r>
            <w:r w:rsidR="003A1D31" w:rsidRPr="00FB202F">
              <w:rPr>
                <w:rFonts w:ascii="Times New Roman" w:hAnsi="Times New Roman" w:cs="Times New Roman"/>
                <w:sz w:val="24"/>
                <w:szCs w:val="24"/>
              </w:rPr>
              <w:t>стратегии за В</w:t>
            </w:r>
            <w:r w:rsidR="00086624">
              <w:rPr>
                <w:rFonts w:ascii="Times New Roman" w:hAnsi="Times New Roman" w:cs="Times New Roman"/>
                <w:sz w:val="24"/>
                <w:szCs w:val="24"/>
              </w:rPr>
              <w:t xml:space="preserve">одено от общностите местно развитие </w:t>
            </w:r>
            <w:r w:rsidR="00086624">
              <w:rPr>
                <w:rFonts w:ascii="Times New Roman" w:hAnsi="Times New Roman" w:cs="Times New Roman"/>
                <w:sz w:val="24"/>
                <w:szCs w:val="24"/>
                <w:lang w:val="en-US"/>
              </w:rPr>
              <w:t>(</w:t>
            </w:r>
            <w:r w:rsidR="00086624">
              <w:rPr>
                <w:rFonts w:ascii="Times New Roman" w:hAnsi="Times New Roman" w:cs="Times New Roman"/>
                <w:sz w:val="24"/>
                <w:szCs w:val="24"/>
              </w:rPr>
              <w:t>ВОМР</w:t>
            </w:r>
            <w:r w:rsidR="00086624">
              <w:rPr>
                <w:rFonts w:ascii="Times New Roman" w:hAnsi="Times New Roman" w:cs="Times New Roman"/>
                <w:sz w:val="24"/>
                <w:szCs w:val="24"/>
                <w:lang w:val="en-US"/>
              </w:rPr>
              <w:t>)</w:t>
            </w:r>
            <w:r w:rsidRPr="00FB202F">
              <w:rPr>
                <w:rFonts w:ascii="Times New Roman" w:hAnsi="Times New Roman" w:cs="Times New Roman"/>
                <w:sz w:val="24"/>
                <w:szCs w:val="24"/>
              </w:rPr>
              <w:t xml:space="preserve"> за </w:t>
            </w:r>
            <w:r w:rsidR="000D7565" w:rsidRPr="00FB202F">
              <w:rPr>
                <w:rFonts w:ascii="Times New Roman" w:hAnsi="Times New Roman" w:cs="Times New Roman"/>
                <w:sz w:val="24"/>
                <w:szCs w:val="24"/>
              </w:rPr>
              <w:t xml:space="preserve">предоставяне на безвъзмездна финансова помощ по интервенция </w:t>
            </w:r>
            <w:r w:rsidR="00F353CA" w:rsidRPr="00FB202F">
              <w:rPr>
                <w:rFonts w:ascii="Times New Roman" w:hAnsi="Times New Roman" w:cs="Times New Roman"/>
                <w:sz w:val="24"/>
                <w:szCs w:val="24"/>
              </w:rPr>
              <w:t xml:space="preserve">II.Ж.5 </w:t>
            </w:r>
            <w:r w:rsidR="000D7565" w:rsidRPr="00FB202F">
              <w:rPr>
                <w:rFonts w:ascii="Times New Roman" w:hAnsi="Times New Roman" w:cs="Times New Roman"/>
                <w:sz w:val="24"/>
                <w:szCs w:val="24"/>
              </w:rPr>
              <w:t>„</w:t>
            </w:r>
            <w:r w:rsidR="00744AEE" w:rsidRPr="00FB202F">
              <w:rPr>
                <w:rFonts w:ascii="Times New Roman" w:hAnsi="Times New Roman" w:cs="Times New Roman"/>
                <w:sz w:val="24"/>
                <w:szCs w:val="24"/>
              </w:rPr>
              <w:t>И</w:t>
            </w:r>
            <w:r w:rsidR="00F8267B" w:rsidRPr="00FB202F">
              <w:rPr>
                <w:rFonts w:ascii="Times New Roman" w:hAnsi="Times New Roman" w:cs="Times New Roman"/>
                <w:sz w:val="24"/>
                <w:szCs w:val="24"/>
              </w:rPr>
              <w:t>зпълнение на операции</w:t>
            </w:r>
            <w:r w:rsidR="00744AEE" w:rsidRPr="00FB202F">
              <w:rPr>
                <w:rFonts w:ascii="Times New Roman" w:hAnsi="Times New Roman" w:cs="Times New Roman"/>
                <w:sz w:val="24"/>
                <w:szCs w:val="24"/>
              </w:rPr>
              <w:t xml:space="preserve">, </w:t>
            </w:r>
            <w:r w:rsidR="00F8267B" w:rsidRPr="00FB202F">
              <w:rPr>
                <w:rFonts w:ascii="Times New Roman" w:hAnsi="Times New Roman" w:cs="Times New Roman"/>
                <w:sz w:val="24"/>
                <w:szCs w:val="24"/>
              </w:rPr>
              <w:t>включително дейности за сътрудничество и тяхната подготовка,</w:t>
            </w:r>
            <w:r w:rsidR="00744AEE" w:rsidRPr="00FB202F">
              <w:rPr>
                <w:rFonts w:ascii="Times New Roman" w:hAnsi="Times New Roman" w:cs="Times New Roman"/>
                <w:sz w:val="24"/>
                <w:szCs w:val="24"/>
              </w:rPr>
              <w:t xml:space="preserve"> </w:t>
            </w:r>
            <w:r w:rsidR="00F8267B" w:rsidRPr="00FB202F">
              <w:rPr>
                <w:rFonts w:ascii="Times New Roman" w:hAnsi="Times New Roman" w:cs="Times New Roman"/>
                <w:sz w:val="24"/>
                <w:szCs w:val="24"/>
              </w:rPr>
              <w:t>избрани в рамките на стратегията за местно развитие</w:t>
            </w:r>
            <w:r w:rsidR="000D7565" w:rsidRPr="00FB202F">
              <w:rPr>
                <w:rFonts w:ascii="Times New Roman" w:hAnsi="Times New Roman" w:cs="Times New Roman"/>
                <w:sz w:val="24"/>
                <w:szCs w:val="24"/>
              </w:rPr>
              <w:t xml:space="preserve">“ от </w:t>
            </w:r>
            <w:r w:rsidR="000D7565" w:rsidRPr="00FB202F">
              <w:rPr>
                <w:rFonts w:ascii="Times New Roman" w:hAnsi="Times New Roman" w:cs="Times New Roman"/>
                <w:bCs/>
                <w:sz w:val="24"/>
                <w:szCs w:val="24"/>
              </w:rPr>
              <w:t>Стратегическия план за развитие на земеделието и селските райони на Република България за периода 202</w:t>
            </w:r>
            <w:r w:rsidR="007C21A6" w:rsidRPr="00FB202F">
              <w:rPr>
                <w:rFonts w:ascii="Times New Roman" w:hAnsi="Times New Roman" w:cs="Times New Roman"/>
                <w:bCs/>
                <w:sz w:val="24"/>
                <w:szCs w:val="24"/>
              </w:rPr>
              <w:t>3</w:t>
            </w:r>
            <w:r w:rsidR="000D7565" w:rsidRPr="00FB202F">
              <w:rPr>
                <w:rFonts w:ascii="Times New Roman" w:hAnsi="Times New Roman" w:cs="Times New Roman"/>
                <w:bCs/>
                <w:sz w:val="24"/>
                <w:szCs w:val="24"/>
              </w:rPr>
              <w:t>–2027 г.</w:t>
            </w:r>
          </w:p>
        </w:tc>
      </w:tr>
    </w:tbl>
    <w:p w14:paraId="21A659A9" w14:textId="77777777" w:rsidR="003935EC" w:rsidRPr="00FB202F" w:rsidRDefault="003935EC" w:rsidP="00044F85">
      <w:pPr>
        <w:tabs>
          <w:tab w:val="left" w:pos="0"/>
          <w:tab w:val="left" w:pos="142"/>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05E9C40D" w14:textId="77777777" w:rsidTr="000D7565">
        <w:tc>
          <w:tcPr>
            <w:tcW w:w="9781" w:type="dxa"/>
          </w:tcPr>
          <w:p w14:paraId="05CA5DAC" w14:textId="77777777" w:rsidR="003935EC" w:rsidRPr="00DF4923" w:rsidRDefault="003935EC" w:rsidP="007541D6">
            <w:pPr>
              <w:numPr>
                <w:ilvl w:val="0"/>
                <w:numId w:val="1"/>
              </w:numPr>
              <w:tabs>
                <w:tab w:val="left" w:pos="0"/>
                <w:tab w:val="left" w:pos="142"/>
              </w:tabs>
              <w:spacing w:line="276" w:lineRule="auto"/>
              <w:ind w:left="0" w:firstLine="567"/>
              <w:contextualSpacing/>
              <w:jc w:val="both"/>
              <w:rPr>
                <w:rFonts w:ascii="Times New Roman" w:hAnsi="Times New Roman" w:cs="Times New Roman"/>
                <w:b/>
                <w:sz w:val="24"/>
                <w:szCs w:val="24"/>
              </w:rPr>
            </w:pPr>
            <w:r w:rsidRPr="00DF4923">
              <w:rPr>
                <w:rFonts w:ascii="Times New Roman" w:hAnsi="Times New Roman" w:cs="Times New Roman"/>
                <w:b/>
                <w:sz w:val="24"/>
                <w:szCs w:val="24"/>
              </w:rPr>
              <w:t xml:space="preserve">Измерения по кодове: </w:t>
            </w:r>
          </w:p>
          <w:p w14:paraId="3F784895" w14:textId="77777777" w:rsidR="003935EC" w:rsidRPr="00DF4923" w:rsidRDefault="003935EC" w:rsidP="007541D6">
            <w:pPr>
              <w:tabs>
                <w:tab w:val="left" w:pos="0"/>
                <w:tab w:val="left" w:pos="142"/>
              </w:tabs>
              <w:spacing w:line="276" w:lineRule="auto"/>
              <w:ind w:firstLine="567"/>
              <w:contextualSpacing/>
              <w:jc w:val="both"/>
              <w:rPr>
                <w:rFonts w:ascii="Times New Roman" w:hAnsi="Times New Roman" w:cs="Times New Roman"/>
                <w:sz w:val="24"/>
                <w:szCs w:val="24"/>
              </w:rPr>
            </w:pPr>
            <w:r w:rsidRPr="00DF4923">
              <w:rPr>
                <w:rFonts w:ascii="Times New Roman" w:hAnsi="Times New Roman" w:cs="Times New Roman"/>
                <w:sz w:val="24"/>
                <w:szCs w:val="24"/>
              </w:rPr>
              <w:t>Измерение 01 „Област на интервенция“ - 097 „Инициативи за воденото от общностите местно развитие в градски и селски райони“;</w:t>
            </w:r>
          </w:p>
          <w:p w14:paraId="04853F58" w14:textId="77777777" w:rsidR="003935EC" w:rsidRPr="00DF4923" w:rsidRDefault="003935EC" w:rsidP="007541D6">
            <w:pPr>
              <w:tabs>
                <w:tab w:val="left" w:pos="0"/>
                <w:tab w:val="left" w:pos="142"/>
              </w:tabs>
              <w:spacing w:line="276" w:lineRule="auto"/>
              <w:ind w:firstLine="567"/>
              <w:contextualSpacing/>
              <w:jc w:val="both"/>
              <w:rPr>
                <w:rFonts w:ascii="Times New Roman" w:hAnsi="Times New Roman" w:cs="Times New Roman"/>
                <w:sz w:val="24"/>
                <w:szCs w:val="24"/>
              </w:rPr>
            </w:pPr>
            <w:r w:rsidRPr="00DF4923">
              <w:rPr>
                <w:rFonts w:ascii="Times New Roman" w:hAnsi="Times New Roman" w:cs="Times New Roman"/>
                <w:sz w:val="24"/>
                <w:szCs w:val="24"/>
              </w:rPr>
              <w:t>Измерение 02 „Форма на финансиране“ - 01 „Безвъзмездни средства“;</w:t>
            </w:r>
          </w:p>
          <w:p w14:paraId="06DBC3D3" w14:textId="77777777" w:rsidR="003935EC" w:rsidRPr="00DF4923" w:rsidRDefault="003935EC" w:rsidP="007541D6">
            <w:pPr>
              <w:tabs>
                <w:tab w:val="left" w:pos="0"/>
                <w:tab w:val="left" w:pos="142"/>
              </w:tabs>
              <w:spacing w:line="276" w:lineRule="auto"/>
              <w:ind w:firstLine="567"/>
              <w:contextualSpacing/>
              <w:jc w:val="both"/>
              <w:rPr>
                <w:rFonts w:ascii="Times New Roman" w:hAnsi="Times New Roman" w:cs="Times New Roman"/>
                <w:sz w:val="24"/>
                <w:szCs w:val="24"/>
              </w:rPr>
            </w:pPr>
            <w:r w:rsidRPr="00DF4923">
              <w:rPr>
                <w:rFonts w:ascii="Times New Roman" w:hAnsi="Times New Roman" w:cs="Times New Roman"/>
                <w:sz w:val="24"/>
                <w:szCs w:val="24"/>
              </w:rPr>
              <w:t>Измерение 03 „Вид на територията“ - 07 „Не се прилага“;</w:t>
            </w:r>
          </w:p>
          <w:p w14:paraId="37F4399D" w14:textId="77777777" w:rsidR="003935EC" w:rsidRPr="00DF4923" w:rsidRDefault="003935EC" w:rsidP="007541D6">
            <w:pPr>
              <w:tabs>
                <w:tab w:val="left" w:pos="0"/>
                <w:tab w:val="left" w:pos="142"/>
              </w:tabs>
              <w:spacing w:line="276" w:lineRule="auto"/>
              <w:ind w:firstLine="567"/>
              <w:contextualSpacing/>
              <w:jc w:val="both"/>
              <w:rPr>
                <w:rFonts w:ascii="Times New Roman" w:hAnsi="Times New Roman" w:cs="Times New Roman"/>
                <w:sz w:val="24"/>
                <w:szCs w:val="24"/>
              </w:rPr>
            </w:pPr>
            <w:r w:rsidRPr="00DF4923">
              <w:rPr>
                <w:rFonts w:ascii="Times New Roman" w:hAnsi="Times New Roman" w:cs="Times New Roman"/>
                <w:sz w:val="24"/>
                <w:szCs w:val="24"/>
              </w:rPr>
              <w:t>Измерение 04 „Механизми за териториално изпълнение“ - 06 „Инициативи за водено от общностите местно развитие“;</w:t>
            </w:r>
          </w:p>
          <w:p w14:paraId="2F530C36" w14:textId="77777777" w:rsidR="003935EC" w:rsidRPr="00DF4923" w:rsidRDefault="003935EC" w:rsidP="007541D6">
            <w:pPr>
              <w:tabs>
                <w:tab w:val="left" w:pos="0"/>
                <w:tab w:val="left" w:pos="142"/>
              </w:tabs>
              <w:spacing w:line="276" w:lineRule="auto"/>
              <w:ind w:firstLine="567"/>
              <w:contextualSpacing/>
              <w:jc w:val="both"/>
              <w:rPr>
                <w:rFonts w:ascii="Times New Roman" w:hAnsi="Times New Roman" w:cs="Times New Roman"/>
                <w:sz w:val="24"/>
                <w:szCs w:val="24"/>
              </w:rPr>
            </w:pPr>
            <w:r w:rsidRPr="00DF4923">
              <w:rPr>
                <w:rFonts w:ascii="Times New Roman" w:hAnsi="Times New Roman" w:cs="Times New Roman"/>
                <w:sz w:val="24"/>
                <w:szCs w:val="24"/>
              </w:rPr>
              <w:t>Измерение 05 „Тематична цел (ЕФРР и Кохезионен фонд)“ – 12 „Не се прилага“;</w:t>
            </w:r>
          </w:p>
          <w:p w14:paraId="200834BB" w14:textId="36D11EA3" w:rsidR="003935EC" w:rsidRPr="00DF4923" w:rsidRDefault="003935EC" w:rsidP="007541D6">
            <w:pPr>
              <w:tabs>
                <w:tab w:val="left" w:pos="0"/>
                <w:tab w:val="left" w:pos="142"/>
              </w:tabs>
              <w:spacing w:line="276" w:lineRule="auto"/>
              <w:ind w:firstLine="567"/>
              <w:contextualSpacing/>
              <w:jc w:val="both"/>
              <w:rPr>
                <w:rFonts w:ascii="Times New Roman" w:hAnsi="Times New Roman" w:cs="Times New Roman"/>
                <w:sz w:val="24"/>
                <w:szCs w:val="24"/>
              </w:rPr>
            </w:pPr>
            <w:r w:rsidRPr="00DF4923">
              <w:rPr>
                <w:rFonts w:ascii="Times New Roman" w:hAnsi="Times New Roman" w:cs="Times New Roman"/>
                <w:sz w:val="24"/>
                <w:szCs w:val="24"/>
              </w:rPr>
              <w:t>Измерение 06 „Вторична тема на ЕСФ</w:t>
            </w:r>
            <w:r w:rsidR="00DF4923">
              <w:rPr>
                <w:rFonts w:ascii="Times New Roman" w:hAnsi="Times New Roman" w:cs="Times New Roman"/>
                <w:sz w:val="24"/>
                <w:szCs w:val="24"/>
              </w:rPr>
              <w:t>+</w:t>
            </w:r>
            <w:r w:rsidRPr="00DF4923">
              <w:rPr>
                <w:rFonts w:ascii="Times New Roman" w:hAnsi="Times New Roman" w:cs="Times New Roman"/>
                <w:sz w:val="24"/>
                <w:szCs w:val="24"/>
              </w:rPr>
              <w:t>“ – 08 „Не се прилага“;</w:t>
            </w:r>
          </w:p>
          <w:p w14:paraId="0A0F3ED2" w14:textId="6ECC8BE8" w:rsidR="003935EC" w:rsidRPr="00FB202F" w:rsidRDefault="003935EC" w:rsidP="00640AC8">
            <w:pPr>
              <w:tabs>
                <w:tab w:val="left" w:pos="0"/>
                <w:tab w:val="left" w:pos="142"/>
              </w:tabs>
              <w:spacing w:after="200" w:line="276" w:lineRule="auto"/>
              <w:ind w:firstLine="567"/>
              <w:contextualSpacing/>
              <w:jc w:val="both"/>
              <w:rPr>
                <w:rFonts w:ascii="Times New Roman" w:hAnsi="Times New Roman" w:cs="Times New Roman"/>
                <w:sz w:val="24"/>
                <w:szCs w:val="24"/>
                <w:highlight w:val="yellow"/>
              </w:rPr>
            </w:pPr>
            <w:r w:rsidRPr="00DF4923">
              <w:rPr>
                <w:rFonts w:ascii="Times New Roman" w:hAnsi="Times New Roman" w:cs="Times New Roman"/>
                <w:sz w:val="24"/>
                <w:szCs w:val="24"/>
              </w:rPr>
              <w:t>Измерение 07 „Икономическа дейност“ – 25 „Не се прилага“.</w:t>
            </w:r>
          </w:p>
        </w:tc>
      </w:tr>
    </w:tbl>
    <w:p w14:paraId="7412DE51" w14:textId="77777777" w:rsidR="003935EC" w:rsidRPr="00FB202F" w:rsidRDefault="003935EC" w:rsidP="00044F85">
      <w:pPr>
        <w:tabs>
          <w:tab w:val="left" w:pos="0"/>
          <w:tab w:val="left" w:pos="142"/>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7DFC1A46" w14:textId="77777777" w:rsidTr="000D7565">
        <w:tc>
          <w:tcPr>
            <w:tcW w:w="9781" w:type="dxa"/>
          </w:tcPr>
          <w:p w14:paraId="12E7C117" w14:textId="77777777" w:rsidR="003935EC" w:rsidRPr="00FB202F" w:rsidRDefault="003935EC" w:rsidP="007541D6">
            <w:pPr>
              <w:numPr>
                <w:ilvl w:val="0"/>
                <w:numId w:val="1"/>
              </w:numPr>
              <w:tabs>
                <w:tab w:val="left" w:pos="0"/>
                <w:tab w:val="left" w:pos="142"/>
              </w:tabs>
              <w:spacing w:line="276" w:lineRule="auto"/>
              <w:ind w:left="0" w:firstLine="567"/>
              <w:contextualSpacing/>
              <w:jc w:val="both"/>
              <w:rPr>
                <w:rFonts w:ascii="Times New Roman" w:hAnsi="Times New Roman" w:cs="Times New Roman"/>
                <w:sz w:val="24"/>
                <w:szCs w:val="24"/>
              </w:rPr>
            </w:pPr>
            <w:r w:rsidRPr="00FB202F">
              <w:rPr>
                <w:rFonts w:ascii="Times New Roman" w:hAnsi="Times New Roman" w:cs="Times New Roman"/>
                <w:b/>
                <w:sz w:val="24"/>
                <w:szCs w:val="24"/>
              </w:rPr>
              <w:t>Териториален обхват:</w:t>
            </w:r>
          </w:p>
          <w:p w14:paraId="3942526A" w14:textId="69161570" w:rsidR="003A1D31" w:rsidRPr="00FB202F" w:rsidRDefault="003A1D31" w:rsidP="007541D6">
            <w:pPr>
              <w:tabs>
                <w:tab w:val="left" w:pos="0"/>
                <w:tab w:val="left" w:pos="142"/>
              </w:tabs>
              <w:spacing w:line="276" w:lineRule="auto"/>
              <w:ind w:firstLine="567"/>
              <w:contextualSpacing/>
              <w:jc w:val="both"/>
              <w:rPr>
                <w:rFonts w:ascii="Times New Roman" w:hAnsi="Times New Roman" w:cs="Times New Roman"/>
                <w:sz w:val="24"/>
                <w:szCs w:val="24"/>
              </w:rPr>
            </w:pPr>
            <w:r w:rsidRPr="00FB202F">
              <w:rPr>
                <w:rFonts w:ascii="Times New Roman" w:hAnsi="Times New Roman" w:cs="Times New Roman"/>
                <w:sz w:val="24"/>
                <w:szCs w:val="24"/>
              </w:rPr>
              <w:t xml:space="preserve">Подходът ВОМР се прилага на територии, определени съгласно чл. 3 и 4 на </w:t>
            </w:r>
            <w:r w:rsidR="00BB20FC" w:rsidRPr="00BB20FC">
              <w:rPr>
                <w:rFonts w:ascii="Times New Roman" w:hAnsi="Times New Roman" w:cs="Times New Roman"/>
                <w:sz w:val="24"/>
                <w:szCs w:val="24"/>
              </w:rPr>
              <w:t>ПМС № 494 от 2024 г.</w:t>
            </w:r>
          </w:p>
          <w:p w14:paraId="0313EF0A" w14:textId="2556C28B" w:rsidR="000F0BD5" w:rsidRPr="00FB202F" w:rsidRDefault="009610A6" w:rsidP="007541D6">
            <w:pPr>
              <w:tabs>
                <w:tab w:val="left" w:pos="0"/>
              </w:tabs>
              <w:spacing w:line="276" w:lineRule="auto"/>
              <w:ind w:firstLine="567"/>
              <w:jc w:val="both"/>
              <w:rPr>
                <w:rFonts w:ascii="Times New Roman" w:hAnsi="Times New Roman" w:cs="Times New Roman"/>
                <w:sz w:val="24"/>
                <w:szCs w:val="24"/>
                <w:highlight w:val="yellow"/>
                <w:shd w:val="clear" w:color="auto" w:fill="FEFEFE"/>
              </w:rPr>
            </w:pPr>
            <w:r w:rsidRPr="00FB202F">
              <w:rPr>
                <w:rFonts w:ascii="Times New Roman" w:hAnsi="Times New Roman" w:cs="Times New Roman"/>
                <w:sz w:val="24"/>
                <w:szCs w:val="24"/>
              </w:rPr>
              <w:t>Подходът ВОМР се прилага на териториален принцип на подрегионално ниво – ниво община, част от община или група от съседни общини, с обхват на населението между 10 000 и 150 000 жители</w:t>
            </w:r>
            <w:r w:rsidR="003A1D31" w:rsidRPr="00FB202F">
              <w:rPr>
                <w:rFonts w:ascii="Times New Roman" w:hAnsi="Times New Roman" w:cs="Times New Roman"/>
                <w:sz w:val="24"/>
                <w:szCs w:val="24"/>
              </w:rPr>
              <w:t xml:space="preserve"> по данни на Националния статистически институт към 31 декември 2020 г</w:t>
            </w:r>
            <w:r w:rsidRPr="00FB202F">
              <w:rPr>
                <w:rFonts w:ascii="Times New Roman" w:hAnsi="Times New Roman" w:cs="Times New Roman"/>
                <w:sz w:val="24"/>
                <w:szCs w:val="24"/>
              </w:rPr>
              <w:t xml:space="preserve">. </w:t>
            </w:r>
          </w:p>
          <w:p w14:paraId="7E8ECA36" w14:textId="4350ABB2" w:rsidR="000F0BD5" w:rsidRPr="00FB202F" w:rsidRDefault="009610A6" w:rsidP="007541D6">
            <w:pPr>
              <w:tabs>
                <w:tab w:val="left" w:pos="0"/>
                <w:tab w:val="left" w:pos="142"/>
              </w:tabs>
              <w:spacing w:line="276" w:lineRule="auto"/>
              <w:ind w:firstLine="567"/>
              <w:contextualSpacing/>
              <w:jc w:val="both"/>
              <w:rPr>
                <w:rFonts w:ascii="Times New Roman" w:hAnsi="Times New Roman" w:cs="Times New Roman"/>
                <w:sz w:val="24"/>
                <w:szCs w:val="24"/>
              </w:rPr>
            </w:pPr>
            <w:r w:rsidRPr="00FB202F">
              <w:rPr>
                <w:rFonts w:ascii="Times New Roman" w:hAnsi="Times New Roman" w:cs="Times New Roman"/>
                <w:sz w:val="24"/>
                <w:szCs w:val="24"/>
              </w:rPr>
              <w:lastRenderedPageBreak/>
              <w:t xml:space="preserve">Подходът се прилага на територията на цялата страна (включително селските райони и териториите със специфични характеристики, определени в Националната концепция за пространствено развитие за периода 2013–2025 г.) с изключение на градовете с население над 30 000 жители в техните строителни граници. </w:t>
            </w:r>
          </w:p>
          <w:p w14:paraId="13EE2E7C" w14:textId="5207C695" w:rsidR="000F0BD5" w:rsidRDefault="009610A6" w:rsidP="007541D6">
            <w:pPr>
              <w:tabs>
                <w:tab w:val="left" w:pos="0"/>
                <w:tab w:val="left" w:pos="142"/>
              </w:tabs>
              <w:spacing w:line="276" w:lineRule="auto"/>
              <w:ind w:firstLine="567"/>
              <w:contextualSpacing/>
              <w:jc w:val="both"/>
              <w:rPr>
                <w:rFonts w:ascii="Times New Roman" w:hAnsi="Times New Roman" w:cs="Times New Roman"/>
                <w:sz w:val="24"/>
                <w:szCs w:val="24"/>
              </w:rPr>
            </w:pPr>
            <w:r w:rsidRPr="00FB202F">
              <w:rPr>
                <w:rFonts w:ascii="Times New Roman" w:hAnsi="Times New Roman" w:cs="Times New Roman"/>
                <w:sz w:val="24"/>
                <w:szCs w:val="24"/>
              </w:rPr>
              <w:t>За населените места, на чиито територии се прилага подходът ВОМР и които са подпомагани от „Програма за развитие на регионите“ 2021–2027 г.</w:t>
            </w:r>
            <w:r w:rsidR="004B1519">
              <w:rPr>
                <w:rFonts w:ascii="Times New Roman" w:hAnsi="Times New Roman" w:cs="Times New Roman"/>
                <w:sz w:val="24"/>
                <w:szCs w:val="24"/>
              </w:rPr>
              <w:t>,</w:t>
            </w:r>
            <w:r w:rsidRPr="00FB202F">
              <w:rPr>
                <w:rFonts w:ascii="Times New Roman" w:hAnsi="Times New Roman" w:cs="Times New Roman"/>
                <w:sz w:val="24"/>
                <w:szCs w:val="24"/>
              </w:rPr>
              <w:t xml:space="preserve"> се прилага демаркация на инвестициите</w:t>
            </w:r>
            <w:r w:rsidR="004B1519">
              <w:rPr>
                <w:rFonts w:ascii="Times New Roman" w:hAnsi="Times New Roman" w:cs="Times New Roman"/>
                <w:sz w:val="24"/>
                <w:szCs w:val="24"/>
              </w:rPr>
              <w:t xml:space="preserve"> на ниво проект</w:t>
            </w:r>
            <w:r w:rsidRPr="00FB202F">
              <w:rPr>
                <w:rFonts w:ascii="Times New Roman" w:hAnsi="Times New Roman" w:cs="Times New Roman"/>
                <w:sz w:val="24"/>
                <w:szCs w:val="24"/>
              </w:rPr>
              <w:t xml:space="preserve">. </w:t>
            </w:r>
          </w:p>
          <w:p w14:paraId="0F5A2E1B" w14:textId="5F061D18" w:rsidR="00164D32" w:rsidRPr="00FB202F" w:rsidRDefault="00164D32" w:rsidP="007541D6">
            <w:pPr>
              <w:tabs>
                <w:tab w:val="left" w:pos="0"/>
                <w:tab w:val="left" w:pos="142"/>
              </w:tabs>
              <w:spacing w:line="276"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Когато на една и съща територия са одобрени стратегии за ВОМР, финансирани от със средства от ЕЗФРСР и ЕФМДРА, не се </w:t>
            </w:r>
            <w:r w:rsidRPr="00164D32">
              <w:rPr>
                <w:rFonts w:ascii="Times New Roman" w:hAnsi="Times New Roman" w:cs="Times New Roman"/>
                <w:sz w:val="24"/>
                <w:szCs w:val="24"/>
              </w:rPr>
              <w:t>допуска финансиране на една и съща дейност по проектите</w:t>
            </w:r>
            <w:r>
              <w:rPr>
                <w:rFonts w:ascii="Times New Roman" w:hAnsi="Times New Roman" w:cs="Times New Roman"/>
                <w:sz w:val="24"/>
                <w:szCs w:val="24"/>
              </w:rPr>
              <w:t>.</w:t>
            </w:r>
          </w:p>
          <w:p w14:paraId="7C37A684" w14:textId="0E8576DD" w:rsidR="003935EC" w:rsidRPr="00FB202F" w:rsidRDefault="009610A6" w:rsidP="00B92618">
            <w:pPr>
              <w:tabs>
                <w:tab w:val="left" w:pos="0"/>
                <w:tab w:val="left" w:pos="142"/>
              </w:tabs>
              <w:spacing w:line="276" w:lineRule="auto"/>
              <w:ind w:firstLine="567"/>
              <w:contextualSpacing/>
              <w:jc w:val="both"/>
              <w:rPr>
                <w:rFonts w:ascii="Times New Roman" w:hAnsi="Times New Roman" w:cs="Times New Roman"/>
                <w:sz w:val="24"/>
                <w:szCs w:val="24"/>
                <w:highlight w:val="yellow"/>
                <w:shd w:val="clear" w:color="auto" w:fill="FEFEFE"/>
              </w:rPr>
            </w:pPr>
            <w:r w:rsidRPr="00FB202F">
              <w:rPr>
                <w:rFonts w:ascii="Times New Roman" w:hAnsi="Times New Roman" w:cs="Times New Roman"/>
                <w:sz w:val="24"/>
                <w:szCs w:val="24"/>
              </w:rPr>
              <w:t xml:space="preserve">За една и съща по обхват територия се одобрява една стратегия за ВОМР/ЛИДЕР, като подпомагането по ЕЗФРСР е задължително. </w:t>
            </w:r>
            <w:r w:rsidR="002A00FF" w:rsidRPr="00FB202F">
              <w:rPr>
                <w:rFonts w:ascii="Times New Roman" w:hAnsi="Times New Roman" w:cs="Times New Roman"/>
                <w:sz w:val="24"/>
                <w:szCs w:val="24"/>
              </w:rPr>
              <w:t>Територията на в</w:t>
            </w:r>
            <w:r w:rsidRPr="00FB202F">
              <w:rPr>
                <w:rFonts w:ascii="Times New Roman" w:hAnsi="Times New Roman" w:cs="Times New Roman"/>
                <w:sz w:val="24"/>
                <w:szCs w:val="24"/>
              </w:rPr>
              <w:t xml:space="preserve">сяка МИГ </w:t>
            </w:r>
            <w:r w:rsidR="003A1D31" w:rsidRPr="00FB202F">
              <w:rPr>
                <w:rFonts w:ascii="Times New Roman" w:hAnsi="Times New Roman" w:cs="Times New Roman"/>
                <w:sz w:val="24"/>
                <w:szCs w:val="24"/>
              </w:rPr>
              <w:t xml:space="preserve">е с непрекъснати граници и </w:t>
            </w:r>
            <w:r w:rsidRPr="00FB202F">
              <w:rPr>
                <w:rFonts w:ascii="Times New Roman" w:hAnsi="Times New Roman" w:cs="Times New Roman"/>
                <w:sz w:val="24"/>
                <w:szCs w:val="24"/>
              </w:rPr>
              <w:t>включва в състава си най-малко една община от селските райони</w:t>
            </w:r>
            <w:r w:rsidR="009D582D">
              <w:rPr>
                <w:rFonts w:ascii="Times New Roman" w:hAnsi="Times New Roman" w:cs="Times New Roman"/>
                <w:sz w:val="24"/>
                <w:szCs w:val="24"/>
              </w:rPr>
              <w:t xml:space="preserve"> съгласно </w:t>
            </w:r>
            <w:r w:rsidR="002974F6">
              <w:rPr>
                <w:rFonts w:ascii="Times New Roman" w:hAnsi="Times New Roman" w:cs="Times New Roman"/>
                <w:sz w:val="24"/>
                <w:szCs w:val="24"/>
              </w:rPr>
              <w:t>п</w:t>
            </w:r>
            <w:r w:rsidR="009D582D">
              <w:rPr>
                <w:rFonts w:ascii="Times New Roman" w:hAnsi="Times New Roman" w:cs="Times New Roman"/>
                <w:sz w:val="24"/>
                <w:szCs w:val="24"/>
              </w:rPr>
              <w:t>риложение №</w:t>
            </w:r>
            <w:r w:rsidR="002974F6">
              <w:rPr>
                <w:rFonts w:ascii="Times New Roman" w:hAnsi="Times New Roman" w:cs="Times New Roman"/>
                <w:sz w:val="24"/>
                <w:szCs w:val="24"/>
              </w:rPr>
              <w:t xml:space="preserve"> </w:t>
            </w:r>
            <w:r w:rsidR="009D582D">
              <w:rPr>
                <w:rFonts w:ascii="Times New Roman" w:hAnsi="Times New Roman" w:cs="Times New Roman"/>
                <w:sz w:val="24"/>
                <w:szCs w:val="24"/>
              </w:rPr>
              <w:t xml:space="preserve">2 от ПМС </w:t>
            </w:r>
            <w:r w:rsidR="00B23464">
              <w:rPr>
                <w:rFonts w:ascii="Times New Roman" w:hAnsi="Times New Roman" w:cs="Times New Roman"/>
                <w:sz w:val="24"/>
                <w:szCs w:val="24"/>
              </w:rPr>
              <w:t xml:space="preserve">№ </w:t>
            </w:r>
            <w:r w:rsidR="009D582D">
              <w:rPr>
                <w:rFonts w:ascii="Times New Roman" w:hAnsi="Times New Roman" w:cs="Times New Roman"/>
                <w:sz w:val="24"/>
                <w:szCs w:val="24"/>
              </w:rPr>
              <w:t>494</w:t>
            </w:r>
            <w:r w:rsidR="00B23464">
              <w:rPr>
                <w:rFonts w:ascii="Times New Roman" w:hAnsi="Times New Roman" w:cs="Times New Roman"/>
                <w:sz w:val="24"/>
                <w:szCs w:val="24"/>
              </w:rPr>
              <w:t xml:space="preserve"> от 2024 г</w:t>
            </w:r>
            <w:r w:rsidRPr="00FB202F">
              <w:rPr>
                <w:rFonts w:ascii="Times New Roman" w:hAnsi="Times New Roman" w:cs="Times New Roman"/>
                <w:sz w:val="24"/>
                <w:szCs w:val="24"/>
              </w:rPr>
              <w:t>. Управляващият орган на С</w:t>
            </w:r>
            <w:r w:rsidR="00790114">
              <w:rPr>
                <w:rFonts w:ascii="Times New Roman" w:hAnsi="Times New Roman" w:cs="Times New Roman"/>
                <w:sz w:val="24"/>
                <w:szCs w:val="24"/>
              </w:rPr>
              <w:t>ПРЗСР</w:t>
            </w:r>
            <w:r w:rsidRPr="00FB202F">
              <w:rPr>
                <w:rFonts w:ascii="Times New Roman" w:hAnsi="Times New Roman" w:cs="Times New Roman"/>
                <w:sz w:val="24"/>
                <w:szCs w:val="24"/>
              </w:rPr>
              <w:t xml:space="preserve"> </w:t>
            </w:r>
            <w:r w:rsidR="00715AF4" w:rsidRPr="00FB202F">
              <w:rPr>
                <w:rFonts w:ascii="Times New Roman" w:hAnsi="Times New Roman" w:cs="Times New Roman"/>
                <w:sz w:val="24"/>
                <w:szCs w:val="24"/>
              </w:rPr>
              <w:t>насърчава</w:t>
            </w:r>
            <w:r w:rsidRPr="00FB202F">
              <w:rPr>
                <w:rFonts w:ascii="Times New Roman" w:hAnsi="Times New Roman" w:cs="Times New Roman"/>
                <w:sz w:val="24"/>
                <w:szCs w:val="24"/>
              </w:rPr>
              <w:t xml:space="preserve"> включването на повече от една община в състава на всяка МИГ.</w:t>
            </w:r>
            <w:r w:rsidR="003935EC" w:rsidRPr="00FB202F">
              <w:rPr>
                <w:rFonts w:ascii="Times New Roman" w:hAnsi="Times New Roman" w:cs="Times New Roman"/>
                <w:sz w:val="24"/>
                <w:szCs w:val="24"/>
                <w:highlight w:val="yellow"/>
                <w:shd w:val="clear" w:color="auto" w:fill="FEFEFE"/>
              </w:rPr>
              <w:t xml:space="preserve"> </w:t>
            </w:r>
          </w:p>
        </w:tc>
      </w:tr>
    </w:tbl>
    <w:p w14:paraId="4B88E73D" w14:textId="77777777" w:rsidR="003935EC" w:rsidRPr="00FB202F" w:rsidRDefault="003935EC" w:rsidP="00044F85">
      <w:pPr>
        <w:tabs>
          <w:tab w:val="left" w:pos="0"/>
          <w:tab w:val="left" w:pos="142"/>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73FE0339" w14:textId="77777777" w:rsidTr="000D7565">
        <w:tc>
          <w:tcPr>
            <w:tcW w:w="9781" w:type="dxa"/>
          </w:tcPr>
          <w:p w14:paraId="34AEB187" w14:textId="77777777" w:rsidR="003935EC" w:rsidRPr="00FB202F" w:rsidRDefault="003935EC" w:rsidP="007541D6">
            <w:pPr>
              <w:numPr>
                <w:ilvl w:val="0"/>
                <w:numId w:val="1"/>
              </w:numPr>
              <w:tabs>
                <w:tab w:val="left" w:pos="0"/>
                <w:tab w:val="left" w:pos="142"/>
              </w:tabs>
              <w:spacing w:line="276" w:lineRule="auto"/>
              <w:ind w:left="0" w:firstLine="567"/>
              <w:contextualSpacing/>
              <w:jc w:val="both"/>
              <w:rPr>
                <w:rFonts w:ascii="Times New Roman" w:hAnsi="Times New Roman" w:cs="Times New Roman"/>
                <w:sz w:val="24"/>
                <w:szCs w:val="24"/>
                <w:shd w:val="clear" w:color="auto" w:fill="FEFEFE"/>
              </w:rPr>
            </w:pPr>
            <w:r w:rsidRPr="00FB202F">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r w:rsidR="000D7565" w:rsidRPr="00FB202F">
              <w:rPr>
                <w:rFonts w:ascii="Times New Roman" w:hAnsi="Times New Roman" w:cs="Times New Roman"/>
                <w:sz w:val="24"/>
                <w:szCs w:val="24"/>
                <w:shd w:val="clear" w:color="auto" w:fill="FEFEFE"/>
              </w:rPr>
              <w:t xml:space="preserve"> </w:t>
            </w:r>
          </w:p>
          <w:p w14:paraId="2043D129" w14:textId="0F92D339" w:rsidR="00155695" w:rsidRPr="00FB202F" w:rsidRDefault="00B03C12" w:rsidP="009B40A3">
            <w:pPr>
              <w:tabs>
                <w:tab w:val="left" w:pos="0"/>
                <w:tab w:val="left" w:pos="142"/>
              </w:tabs>
              <w:spacing w:line="276" w:lineRule="auto"/>
              <w:ind w:firstLine="567"/>
              <w:contextualSpacing/>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С прилагането на подхода ВОМР през програмния период 202</w:t>
            </w:r>
            <w:r w:rsidR="00C027FF">
              <w:rPr>
                <w:rFonts w:ascii="Times New Roman" w:hAnsi="Times New Roman" w:cs="Times New Roman"/>
                <w:sz w:val="24"/>
                <w:szCs w:val="24"/>
                <w:shd w:val="clear" w:color="auto" w:fill="FEFEFE"/>
              </w:rPr>
              <w:t>3</w:t>
            </w:r>
            <w:r w:rsidRPr="00FB202F">
              <w:rPr>
                <w:rFonts w:ascii="Times New Roman" w:hAnsi="Times New Roman" w:cs="Times New Roman"/>
                <w:sz w:val="24"/>
                <w:szCs w:val="24"/>
                <w:shd w:val="clear" w:color="auto" w:fill="FEFEFE"/>
              </w:rPr>
              <w:t xml:space="preserve">–2027 г. се цели постигането на специфична цел съгласно чл. 6, параграф 1, буква „з“: „Насърчаване на заетостта, растежа, социалното приобщаване и местното развитие в селските райони, включително биоикономиката и устойчивото горско стопанство“ от Регламент (ЕС) 2021/2115 </w:t>
            </w:r>
            <w:r w:rsidR="009B40A3" w:rsidRPr="009B40A3">
              <w:rPr>
                <w:rFonts w:ascii="Times New Roman" w:hAnsi="Times New Roman" w:cs="Times New Roman"/>
                <w:sz w:val="24"/>
                <w:szCs w:val="24"/>
                <w:shd w:val="clear" w:color="auto" w:fill="FEFEFE"/>
              </w:rPr>
              <w:t>на Европейския парламент и на Съвета от 2 декември 2021 година</w:t>
            </w:r>
            <w:r w:rsidR="009B40A3">
              <w:rPr>
                <w:rFonts w:ascii="Times New Roman" w:hAnsi="Times New Roman" w:cs="Times New Roman"/>
                <w:sz w:val="24"/>
                <w:szCs w:val="24"/>
                <w:shd w:val="clear" w:color="auto" w:fill="FEFEFE"/>
              </w:rPr>
              <w:t xml:space="preserve"> </w:t>
            </w:r>
            <w:r w:rsidR="009B40A3" w:rsidRPr="009B40A3">
              <w:rPr>
                <w:rFonts w:ascii="Times New Roman" w:hAnsi="Times New Roman" w:cs="Times New Roman"/>
                <w:sz w:val="24"/>
                <w:szCs w:val="24"/>
                <w:shd w:val="clear" w:color="auto" w:fill="FEFEFE"/>
              </w:rPr>
              <w:t>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1307/Регламент (ЕС) 2021/2115 на Европейския парламент и Съвета за установяване на правила за подкрепа на Стратегически планове за ОСП.</w:t>
            </w:r>
          </w:p>
          <w:p w14:paraId="019DA874" w14:textId="77777777" w:rsidR="00B03C12" w:rsidRPr="00FB202F" w:rsidRDefault="00B03C12" w:rsidP="007541D6">
            <w:pPr>
              <w:tabs>
                <w:tab w:val="left" w:pos="0"/>
                <w:tab w:val="left" w:pos="142"/>
              </w:tabs>
              <w:spacing w:after="200" w:line="276" w:lineRule="auto"/>
              <w:ind w:firstLine="567"/>
              <w:contextualSpacing/>
              <w:jc w:val="both"/>
              <w:rPr>
                <w:rFonts w:ascii="Times New Roman" w:hAnsi="Times New Roman" w:cs="Times New Roman"/>
                <w:sz w:val="24"/>
                <w:szCs w:val="24"/>
                <w:shd w:val="clear" w:color="auto" w:fill="FEFEFE"/>
              </w:rPr>
            </w:pPr>
          </w:p>
          <w:p w14:paraId="33138A4F" w14:textId="0375E403" w:rsidR="00155695" w:rsidRPr="00FB202F" w:rsidRDefault="00155695" w:rsidP="007541D6">
            <w:pPr>
              <w:tabs>
                <w:tab w:val="left" w:pos="0"/>
                <w:tab w:val="left" w:pos="142"/>
              </w:tabs>
              <w:spacing w:line="276" w:lineRule="auto"/>
              <w:ind w:firstLine="567"/>
              <w:contextualSpacing/>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С прилагането на подхода ВОМР се цели и постигане на следните специфични цели за местно развитие:</w:t>
            </w:r>
          </w:p>
          <w:p w14:paraId="0FADB82B" w14:textId="644AF00F" w:rsidR="00155695" w:rsidRPr="00FB202F" w:rsidRDefault="00155695" w:rsidP="007541D6">
            <w:pPr>
              <w:pStyle w:val="ListParagraph"/>
              <w:numPr>
                <w:ilvl w:val="0"/>
                <w:numId w:val="3"/>
              </w:numPr>
              <w:tabs>
                <w:tab w:val="left" w:pos="0"/>
                <w:tab w:val="left" w:pos="142"/>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Подобряване на условията на живот на териториите на местните общности;</w:t>
            </w:r>
          </w:p>
          <w:p w14:paraId="167EF755" w14:textId="63ACA77E" w:rsidR="00155695" w:rsidRPr="00FB202F" w:rsidRDefault="00155695" w:rsidP="007541D6">
            <w:pPr>
              <w:pStyle w:val="ListParagraph"/>
              <w:numPr>
                <w:ilvl w:val="0"/>
                <w:numId w:val="3"/>
              </w:numPr>
              <w:tabs>
                <w:tab w:val="left" w:pos="0"/>
                <w:tab w:val="left" w:pos="142"/>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Създаване на динамична жизнена среда и подобряване качеството на живот чрез развитие на хоризонтални и междусекторни партньорства и взаимодействие за инициативи от общ интерес, както и на практики и модели за добро управление и участие на заинтересованите страни в развитието на територията, като основа за териториално развитие;</w:t>
            </w:r>
          </w:p>
          <w:p w14:paraId="1FE323B7" w14:textId="61EF049F" w:rsidR="00155695" w:rsidRPr="00FB202F" w:rsidRDefault="00155695" w:rsidP="007541D6">
            <w:pPr>
              <w:pStyle w:val="ListParagraph"/>
              <w:numPr>
                <w:ilvl w:val="0"/>
                <w:numId w:val="3"/>
              </w:numPr>
              <w:tabs>
                <w:tab w:val="left" w:pos="0"/>
                <w:tab w:val="left" w:pos="142"/>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Подкрепа за териториалната идентичност, маркетинг и марки на база на специфичния териториален потенциал и продукти от местен характер;</w:t>
            </w:r>
          </w:p>
          <w:p w14:paraId="67DDE0EB" w14:textId="1D12B915" w:rsidR="00155695" w:rsidRPr="00FB202F" w:rsidRDefault="00155695" w:rsidP="007541D6">
            <w:pPr>
              <w:pStyle w:val="ListParagraph"/>
              <w:numPr>
                <w:ilvl w:val="0"/>
                <w:numId w:val="3"/>
              </w:numPr>
              <w:tabs>
                <w:tab w:val="left" w:pos="0"/>
                <w:tab w:val="left" w:pos="142"/>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Повишаване на конкурентоспособността на местните икономики и възможности за създаване на местен бизнес, включително чрез диверсификация и подкрепа за алтернативни </w:t>
            </w:r>
            <w:r w:rsidRPr="00FB202F">
              <w:rPr>
                <w:rFonts w:ascii="Times New Roman" w:hAnsi="Times New Roman" w:cs="Times New Roman"/>
                <w:sz w:val="24"/>
                <w:szCs w:val="24"/>
                <w:shd w:val="clear" w:color="auto" w:fill="FEFEFE"/>
              </w:rPr>
              <w:lastRenderedPageBreak/>
              <w:t>дейности;</w:t>
            </w:r>
          </w:p>
          <w:p w14:paraId="460A957A" w14:textId="40A89E5C" w:rsidR="00155695" w:rsidRPr="00FB202F" w:rsidRDefault="00155695" w:rsidP="007541D6">
            <w:pPr>
              <w:pStyle w:val="ListParagraph"/>
              <w:numPr>
                <w:ilvl w:val="0"/>
                <w:numId w:val="3"/>
              </w:numPr>
              <w:tabs>
                <w:tab w:val="left" w:pos="0"/>
                <w:tab w:val="left" w:pos="142"/>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Подкрепа за въвеждането на иновации;</w:t>
            </w:r>
          </w:p>
          <w:p w14:paraId="1F1537B3" w14:textId="10D559E0" w:rsidR="00155695" w:rsidRPr="00FB202F" w:rsidRDefault="00155695" w:rsidP="007541D6">
            <w:pPr>
              <w:pStyle w:val="ListParagraph"/>
              <w:numPr>
                <w:ilvl w:val="0"/>
                <w:numId w:val="3"/>
              </w:numPr>
              <w:tabs>
                <w:tab w:val="left" w:pos="0"/>
                <w:tab w:val="left" w:pos="142"/>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Засилване на капацитета за научни изследвания и иновации и на въвеждането на модерни технологии чрез подкрепа за иновации в предприятията  и насърчаване на прехода към кръгова икономика чрез подкрепа за инвестиции в предприятията с цел подобряване на ресурсната ефективност;</w:t>
            </w:r>
          </w:p>
          <w:p w14:paraId="0C06815B" w14:textId="5F095888" w:rsidR="00155695" w:rsidRPr="00FB202F" w:rsidRDefault="00155695" w:rsidP="007541D6">
            <w:pPr>
              <w:pStyle w:val="ListParagraph"/>
              <w:numPr>
                <w:ilvl w:val="0"/>
                <w:numId w:val="3"/>
              </w:numPr>
              <w:tabs>
                <w:tab w:val="left" w:pos="0"/>
                <w:tab w:val="left" w:pos="142"/>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Насърчаване на устойчивата и качествена заетост и социално включване на уязвими и маргинализирани групи;</w:t>
            </w:r>
          </w:p>
          <w:p w14:paraId="709D43CB" w14:textId="387D20BC" w:rsidR="00155695" w:rsidRPr="00FB202F" w:rsidRDefault="00155695" w:rsidP="007541D6">
            <w:pPr>
              <w:pStyle w:val="ListParagraph"/>
              <w:numPr>
                <w:ilvl w:val="0"/>
                <w:numId w:val="3"/>
              </w:numPr>
              <w:tabs>
                <w:tab w:val="left" w:pos="0"/>
                <w:tab w:val="left" w:pos="142"/>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Съхраняване и опазване на околната среда и насърчаване на ресурсната ефективност, вкл. дейности за превенция и управление на риска и за използване потенциала на културното наследство;</w:t>
            </w:r>
          </w:p>
          <w:p w14:paraId="2A58383F" w14:textId="77777777" w:rsidR="000D7565" w:rsidRPr="00FB202F" w:rsidRDefault="00155695" w:rsidP="007541D6">
            <w:pPr>
              <w:pStyle w:val="ListParagraph"/>
              <w:numPr>
                <w:ilvl w:val="0"/>
                <w:numId w:val="3"/>
              </w:numPr>
              <w:tabs>
                <w:tab w:val="left" w:pos="0"/>
                <w:tab w:val="left" w:pos="142"/>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Приобщаващо образование и образователна интеграция.</w:t>
            </w:r>
          </w:p>
          <w:p w14:paraId="32B2F9BB" w14:textId="77777777" w:rsidR="003D4513" w:rsidRPr="00FB202F" w:rsidRDefault="003D4513" w:rsidP="007541D6">
            <w:pPr>
              <w:tabs>
                <w:tab w:val="left" w:pos="0"/>
                <w:tab w:val="left" w:pos="142"/>
              </w:tabs>
              <w:spacing w:after="200" w:line="276" w:lineRule="auto"/>
              <w:ind w:firstLine="567"/>
              <w:contextualSpacing/>
              <w:jc w:val="both"/>
              <w:rPr>
                <w:rFonts w:ascii="Times New Roman" w:hAnsi="Times New Roman" w:cs="Times New Roman"/>
                <w:sz w:val="24"/>
                <w:szCs w:val="24"/>
                <w:shd w:val="clear" w:color="auto" w:fill="FEFEFE"/>
              </w:rPr>
            </w:pPr>
          </w:p>
          <w:p w14:paraId="17234D82" w14:textId="6B342AF0" w:rsidR="003D4513" w:rsidRPr="00FB202F" w:rsidRDefault="003D4513" w:rsidP="007541D6">
            <w:pPr>
              <w:tabs>
                <w:tab w:val="left" w:pos="0"/>
                <w:tab w:val="left" w:pos="142"/>
              </w:tabs>
              <w:spacing w:after="200" w:line="276" w:lineRule="auto"/>
              <w:ind w:firstLine="567"/>
              <w:contextualSpacing/>
              <w:jc w:val="both"/>
              <w:rPr>
                <w:rFonts w:ascii="Times New Roman" w:hAnsi="Times New Roman" w:cs="Times New Roman"/>
                <w:sz w:val="24"/>
                <w:szCs w:val="24"/>
                <w:shd w:val="clear" w:color="auto" w:fill="FEFEFE"/>
              </w:rPr>
            </w:pPr>
            <w:r w:rsidRPr="00FB202F">
              <w:rPr>
                <w:rFonts w:ascii="Times New Roman" w:hAnsi="Times New Roman" w:cs="Times New Roman"/>
                <w:b/>
                <w:sz w:val="24"/>
                <w:szCs w:val="24"/>
                <w:shd w:val="clear" w:color="auto" w:fill="FEFEFE"/>
              </w:rPr>
              <w:t>Очаквани резултати</w:t>
            </w:r>
            <w:r w:rsidRPr="00FB202F">
              <w:rPr>
                <w:rFonts w:ascii="Times New Roman" w:eastAsia="Times New Roman" w:hAnsi="Times New Roman" w:cs="Times New Roman"/>
                <w:b/>
                <w:sz w:val="24"/>
                <w:szCs w:val="24"/>
                <w:shd w:val="clear" w:color="auto" w:fill="FEFEFE"/>
                <w:lang w:eastAsia="bg-BG"/>
              </w:rPr>
              <w:t xml:space="preserve"> от предоставянето на финансовата помощ:</w:t>
            </w:r>
          </w:p>
          <w:p w14:paraId="7DC7C5D9" w14:textId="428183C7" w:rsidR="003D4513" w:rsidRPr="00FB202F" w:rsidRDefault="003420C5" w:rsidP="007541D6">
            <w:pPr>
              <w:tabs>
                <w:tab w:val="left" w:pos="0"/>
                <w:tab w:val="left" w:pos="142"/>
              </w:tabs>
              <w:spacing w:line="276" w:lineRule="auto"/>
              <w:ind w:firstLine="567"/>
              <w:contextualSpacing/>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Чрез п</w:t>
            </w:r>
            <w:r w:rsidR="003D4513" w:rsidRPr="00FB202F">
              <w:rPr>
                <w:rFonts w:ascii="Times New Roman" w:hAnsi="Times New Roman" w:cs="Times New Roman"/>
                <w:sz w:val="24"/>
                <w:szCs w:val="24"/>
                <w:shd w:val="clear" w:color="auto" w:fill="FEFEFE"/>
              </w:rPr>
              <w:t xml:space="preserve">рилагането на стратегии за ВОМР </w:t>
            </w:r>
            <w:r w:rsidRPr="00FB202F">
              <w:rPr>
                <w:rFonts w:ascii="Times New Roman" w:hAnsi="Times New Roman" w:cs="Times New Roman"/>
                <w:sz w:val="24"/>
                <w:szCs w:val="24"/>
                <w:shd w:val="clear" w:color="auto" w:fill="FEFEFE"/>
              </w:rPr>
              <w:t xml:space="preserve">ще се </w:t>
            </w:r>
            <w:r w:rsidR="003D4513" w:rsidRPr="00FB202F">
              <w:rPr>
                <w:rFonts w:ascii="Times New Roman" w:hAnsi="Times New Roman" w:cs="Times New Roman"/>
                <w:sz w:val="24"/>
                <w:szCs w:val="24"/>
                <w:shd w:val="clear" w:color="auto" w:fill="FEFEFE"/>
              </w:rPr>
              <w:t>финансира</w:t>
            </w:r>
            <w:r w:rsidRPr="00FB202F">
              <w:rPr>
                <w:rFonts w:ascii="Times New Roman" w:hAnsi="Times New Roman" w:cs="Times New Roman"/>
                <w:sz w:val="24"/>
                <w:szCs w:val="24"/>
                <w:shd w:val="clear" w:color="auto" w:fill="FEFEFE"/>
              </w:rPr>
              <w:t>т</w:t>
            </w:r>
            <w:r w:rsidR="003D4513" w:rsidRPr="00FB202F">
              <w:rPr>
                <w:rFonts w:ascii="Times New Roman" w:hAnsi="Times New Roman" w:cs="Times New Roman"/>
                <w:sz w:val="24"/>
                <w:szCs w:val="24"/>
                <w:shd w:val="clear" w:color="auto" w:fill="FEFEFE"/>
              </w:rPr>
              <w:t xml:space="preserve"> проекти, които отговарят на местните потребности, създават и запазват заетост за местното население и са в полза на малкия местен бизнес. Чрез тях се създават по-добри икономически, социални и екологични условия за живот в малките население места, подкрепя се многосекторното развитие на местните икономики</w:t>
            </w:r>
            <w:r w:rsidR="000C7F52" w:rsidRPr="00FB202F">
              <w:rPr>
                <w:rFonts w:ascii="Times New Roman" w:hAnsi="Times New Roman" w:cs="Times New Roman"/>
                <w:sz w:val="24"/>
                <w:szCs w:val="24"/>
                <w:shd w:val="clear" w:color="auto" w:fill="FEFEFE"/>
              </w:rPr>
              <w:t xml:space="preserve"> и се забавя и неутрализира процесът на тяхното обезлюдяване</w:t>
            </w:r>
            <w:r w:rsidR="003D4513" w:rsidRPr="00FB202F">
              <w:rPr>
                <w:rFonts w:ascii="Times New Roman" w:hAnsi="Times New Roman" w:cs="Times New Roman"/>
                <w:sz w:val="24"/>
                <w:szCs w:val="24"/>
                <w:shd w:val="clear" w:color="auto" w:fill="FEFEFE"/>
              </w:rPr>
              <w:t xml:space="preserve">.  </w:t>
            </w:r>
          </w:p>
        </w:tc>
      </w:tr>
    </w:tbl>
    <w:p w14:paraId="72CEA966" w14:textId="77777777" w:rsidR="003935EC" w:rsidRPr="00FB202F" w:rsidRDefault="003935EC" w:rsidP="00044F85">
      <w:pPr>
        <w:tabs>
          <w:tab w:val="left" w:pos="0"/>
          <w:tab w:val="left" w:pos="142"/>
        </w:tabs>
        <w:spacing w:after="0"/>
        <w:ind w:firstLine="567"/>
        <w:contextualSpacing/>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FB202F" w:rsidRPr="00FB202F" w14:paraId="11E7DCB9" w14:textId="77777777" w:rsidTr="000D7565">
        <w:tc>
          <w:tcPr>
            <w:tcW w:w="9781" w:type="dxa"/>
          </w:tcPr>
          <w:p w14:paraId="7D45AC75" w14:textId="77777777" w:rsidR="003935EC" w:rsidRPr="00FA5CB0" w:rsidRDefault="003935EC" w:rsidP="007541D6">
            <w:pPr>
              <w:numPr>
                <w:ilvl w:val="0"/>
                <w:numId w:val="1"/>
              </w:numPr>
              <w:tabs>
                <w:tab w:val="left" w:pos="0"/>
                <w:tab w:val="left" w:pos="142"/>
              </w:tabs>
              <w:spacing w:line="276" w:lineRule="auto"/>
              <w:ind w:left="0" w:firstLine="567"/>
              <w:contextualSpacing/>
              <w:jc w:val="both"/>
              <w:rPr>
                <w:rFonts w:ascii="Times New Roman" w:hAnsi="Times New Roman" w:cs="Times New Roman"/>
                <w:b/>
                <w:sz w:val="24"/>
                <w:szCs w:val="24"/>
              </w:rPr>
            </w:pPr>
            <w:r w:rsidRPr="00FA5CB0">
              <w:rPr>
                <w:rFonts w:ascii="Times New Roman" w:hAnsi="Times New Roman" w:cs="Times New Roman"/>
                <w:b/>
                <w:sz w:val="24"/>
                <w:szCs w:val="24"/>
              </w:rPr>
              <w:t>Индикатори:</w:t>
            </w:r>
          </w:p>
          <w:p w14:paraId="3F2701B9" w14:textId="66910C8D" w:rsidR="00FA5CB0" w:rsidRPr="00F3199A" w:rsidRDefault="003D47F7" w:rsidP="007541D6">
            <w:pPr>
              <w:tabs>
                <w:tab w:val="left" w:pos="0"/>
                <w:tab w:val="left" w:pos="142"/>
              </w:tabs>
              <w:spacing w:after="200" w:line="276" w:lineRule="auto"/>
              <w:ind w:firstLine="567"/>
              <w:jc w:val="both"/>
              <w:rPr>
                <w:rFonts w:ascii="Times New Roman" w:hAnsi="Times New Roman" w:cs="Times New Roman"/>
                <w:sz w:val="24"/>
                <w:szCs w:val="24"/>
              </w:rPr>
            </w:pPr>
            <w:r w:rsidRPr="00F3199A">
              <w:rPr>
                <w:rFonts w:ascii="Times New Roman" w:hAnsi="Times New Roman" w:cs="Times New Roman"/>
                <w:sz w:val="24"/>
                <w:szCs w:val="24"/>
              </w:rPr>
              <w:t>7.</w:t>
            </w:r>
            <w:r w:rsidR="00A634A2" w:rsidRPr="00F3199A">
              <w:rPr>
                <w:rFonts w:ascii="Times New Roman" w:hAnsi="Times New Roman" w:cs="Times New Roman"/>
                <w:sz w:val="24"/>
                <w:szCs w:val="24"/>
              </w:rPr>
              <w:t xml:space="preserve">1. </w:t>
            </w:r>
            <w:r w:rsidR="00FA5CB0" w:rsidRPr="00F3199A">
              <w:rPr>
                <w:rFonts w:ascii="Times New Roman" w:hAnsi="Times New Roman" w:cs="Times New Roman"/>
                <w:sz w:val="24"/>
                <w:szCs w:val="24"/>
              </w:rPr>
              <w:t xml:space="preserve">В процедурата за подбор по интервенция „Изпълнение на операции, включително дейности за сътрудничество и тяхната подготовка, избрани в рамките на стратегията за местно развитие“, са </w:t>
            </w:r>
            <w:r w:rsidR="00115776" w:rsidRPr="00115776">
              <w:rPr>
                <w:rFonts w:ascii="Times New Roman" w:hAnsi="Times New Roman" w:cs="Times New Roman"/>
                <w:sz w:val="24"/>
                <w:szCs w:val="24"/>
              </w:rPr>
              <w:t>включени</w:t>
            </w:r>
            <w:r w:rsidR="00FA5CB0" w:rsidRPr="00F3199A">
              <w:rPr>
                <w:rFonts w:ascii="Times New Roman" w:hAnsi="Times New Roman" w:cs="Times New Roman"/>
                <w:sz w:val="24"/>
                <w:szCs w:val="24"/>
              </w:rPr>
              <w:t xml:space="preserve"> пет основни индикатора за резултат по подхода ВОМР, които ще бъдат отчитани чрез изпълнението на стратегиите за ВОМР в програмния период. </w:t>
            </w:r>
          </w:p>
          <w:p w14:paraId="3939B871" w14:textId="51FAEC50" w:rsidR="00FF39DB" w:rsidRPr="00F3199A" w:rsidRDefault="00FA5CB0" w:rsidP="007541D6">
            <w:pPr>
              <w:tabs>
                <w:tab w:val="left" w:pos="0"/>
                <w:tab w:val="left" w:pos="142"/>
              </w:tabs>
              <w:spacing w:after="200" w:line="276" w:lineRule="auto"/>
              <w:ind w:firstLine="567"/>
              <w:jc w:val="both"/>
              <w:rPr>
                <w:rFonts w:ascii="Times New Roman" w:hAnsi="Times New Roman" w:cs="Times New Roman"/>
                <w:sz w:val="24"/>
                <w:szCs w:val="24"/>
              </w:rPr>
            </w:pPr>
            <w:r w:rsidRPr="00F3199A">
              <w:rPr>
                <w:rFonts w:ascii="Times New Roman" w:hAnsi="Times New Roman" w:cs="Times New Roman"/>
                <w:sz w:val="24"/>
                <w:szCs w:val="24"/>
              </w:rPr>
              <w:t>Тези индикатори са</w:t>
            </w:r>
            <w:r w:rsidR="00FF39DB" w:rsidRPr="00F3199A">
              <w:rPr>
                <w:rFonts w:ascii="Times New Roman" w:hAnsi="Times New Roman" w:cs="Times New Roman"/>
                <w:sz w:val="24"/>
                <w:szCs w:val="24"/>
              </w:rPr>
              <w:t xml:space="preserve">: </w:t>
            </w:r>
          </w:p>
          <w:p w14:paraId="76659C9E" w14:textId="493A39D9" w:rsidR="00FF39DB" w:rsidRPr="00FB202F" w:rsidRDefault="003D47F7" w:rsidP="007541D6">
            <w:pPr>
              <w:tabs>
                <w:tab w:val="left" w:pos="0"/>
                <w:tab w:val="left" w:pos="142"/>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7.1.</w:t>
            </w:r>
            <w:r w:rsidR="00FF39DB" w:rsidRPr="00FB202F">
              <w:rPr>
                <w:rFonts w:ascii="Times New Roman" w:hAnsi="Times New Roman" w:cs="Times New Roman"/>
                <w:sz w:val="24"/>
                <w:szCs w:val="24"/>
              </w:rPr>
              <w:t>1. R.37 „Нови работни места по подкрепените проекти“;</w:t>
            </w:r>
          </w:p>
          <w:p w14:paraId="333643DF" w14:textId="0E474CB5" w:rsidR="00FF39DB" w:rsidRPr="00FB202F" w:rsidRDefault="003D47F7" w:rsidP="007541D6">
            <w:pPr>
              <w:tabs>
                <w:tab w:val="left" w:pos="0"/>
                <w:tab w:val="left" w:pos="142"/>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7.1.</w:t>
            </w:r>
            <w:r w:rsidR="00FF39DB" w:rsidRPr="00FB202F">
              <w:rPr>
                <w:rFonts w:ascii="Times New Roman" w:hAnsi="Times New Roman" w:cs="Times New Roman"/>
                <w:sz w:val="24"/>
                <w:szCs w:val="24"/>
              </w:rPr>
              <w:t>2. R.40 „Интелигентен икономически преход в селските райони: Брой на подкрепени стратегии за „умни села“;</w:t>
            </w:r>
          </w:p>
          <w:p w14:paraId="43D6A032" w14:textId="348914A4" w:rsidR="00FF39DB" w:rsidRPr="00FB202F" w:rsidRDefault="003D47F7" w:rsidP="007541D6">
            <w:pPr>
              <w:tabs>
                <w:tab w:val="left" w:pos="0"/>
                <w:tab w:val="left" w:pos="142"/>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7.1.</w:t>
            </w:r>
            <w:r w:rsidR="00FF39DB" w:rsidRPr="00FB202F">
              <w:rPr>
                <w:rFonts w:ascii="Times New Roman" w:hAnsi="Times New Roman" w:cs="Times New Roman"/>
                <w:sz w:val="24"/>
                <w:szCs w:val="24"/>
              </w:rPr>
              <w:t>3. R.41 „Свързани европейски селски райони: Дял на населението в селските райони, ползващо се от подобрения достъп до услуги и инфраструктура чрез инвестиции от ОСП“;</w:t>
            </w:r>
          </w:p>
          <w:p w14:paraId="1BCC845E" w14:textId="09E9BA6A" w:rsidR="00FF39DB" w:rsidRPr="00FB202F" w:rsidRDefault="003D47F7" w:rsidP="007541D6">
            <w:pPr>
              <w:tabs>
                <w:tab w:val="left" w:pos="0"/>
                <w:tab w:val="left" w:pos="142"/>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7.1.</w:t>
            </w:r>
            <w:r w:rsidR="00FF39DB" w:rsidRPr="00FB202F">
              <w:rPr>
                <w:rFonts w:ascii="Times New Roman" w:hAnsi="Times New Roman" w:cs="Times New Roman"/>
                <w:sz w:val="24"/>
                <w:szCs w:val="24"/>
              </w:rPr>
              <w:t>4. R.42 „Насърчаване на социалното включване: Брой лица, обхванати от проекти, свързани с подкрепа на дейности за социално включване“;</w:t>
            </w:r>
          </w:p>
          <w:p w14:paraId="0FFEDAB3" w14:textId="13478178" w:rsidR="00FF39DB" w:rsidRPr="00FB202F" w:rsidRDefault="003D47F7" w:rsidP="007541D6">
            <w:pPr>
              <w:tabs>
                <w:tab w:val="left" w:pos="0"/>
                <w:tab w:val="left" w:pos="142"/>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7.1.</w:t>
            </w:r>
            <w:r w:rsidR="00FF39DB" w:rsidRPr="00FB202F">
              <w:rPr>
                <w:rFonts w:ascii="Times New Roman" w:hAnsi="Times New Roman" w:cs="Times New Roman"/>
                <w:sz w:val="24"/>
                <w:szCs w:val="24"/>
              </w:rPr>
              <w:t xml:space="preserve">5. </w:t>
            </w:r>
            <w:r w:rsidR="00B32752">
              <w:rPr>
                <w:rFonts w:ascii="Times New Roman" w:hAnsi="Times New Roman" w:cs="Times New Roman"/>
                <w:sz w:val="24"/>
                <w:szCs w:val="24"/>
                <w:lang w:val="en-US"/>
              </w:rPr>
              <w:t xml:space="preserve">R.0 </w:t>
            </w:r>
            <w:r w:rsidR="00FF39DB" w:rsidRPr="00FB202F">
              <w:rPr>
                <w:rFonts w:ascii="Times New Roman" w:hAnsi="Times New Roman" w:cs="Times New Roman"/>
                <w:sz w:val="24"/>
                <w:szCs w:val="24"/>
              </w:rPr>
              <w:t>„Брой лица, включени в дейности по обучения, информационни срещи и семинари и други дейности, свързани с трансфер на знания“.</w:t>
            </w:r>
          </w:p>
          <w:p w14:paraId="3E985141" w14:textId="77777777" w:rsidR="00FF39DB" w:rsidRPr="00FB202F" w:rsidRDefault="00FF39DB" w:rsidP="007541D6">
            <w:pPr>
              <w:tabs>
                <w:tab w:val="left" w:pos="0"/>
                <w:tab w:val="left" w:pos="142"/>
              </w:tabs>
              <w:spacing w:line="276" w:lineRule="auto"/>
              <w:ind w:firstLine="567"/>
              <w:jc w:val="both"/>
              <w:rPr>
                <w:rFonts w:ascii="Times New Roman" w:hAnsi="Times New Roman" w:cs="Times New Roman"/>
                <w:sz w:val="24"/>
                <w:szCs w:val="24"/>
              </w:rPr>
            </w:pPr>
          </w:p>
          <w:p w14:paraId="1946720C" w14:textId="53F68813" w:rsidR="00FF39DB" w:rsidRPr="00FB202F" w:rsidRDefault="00FF39DB" w:rsidP="007541D6">
            <w:pPr>
              <w:tabs>
                <w:tab w:val="left" w:pos="0"/>
                <w:tab w:val="left" w:pos="142"/>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При подаване на формуляра за кандидатстване за одобрение на стратегия за ВОМР, местните инициативни групи </w:t>
            </w:r>
            <w:r w:rsidR="00FA5CB0">
              <w:rPr>
                <w:rFonts w:ascii="Times New Roman" w:hAnsi="Times New Roman" w:cs="Times New Roman"/>
                <w:sz w:val="24"/>
                <w:szCs w:val="24"/>
              </w:rPr>
              <w:t xml:space="preserve">задължително </w:t>
            </w:r>
            <w:r w:rsidRPr="00FB202F">
              <w:rPr>
                <w:rFonts w:ascii="Times New Roman" w:hAnsi="Times New Roman" w:cs="Times New Roman"/>
                <w:sz w:val="24"/>
                <w:szCs w:val="24"/>
              </w:rPr>
              <w:t xml:space="preserve">попълват </w:t>
            </w:r>
            <w:r w:rsidR="009F41C9" w:rsidRPr="00FB202F">
              <w:rPr>
                <w:rFonts w:ascii="Times New Roman" w:hAnsi="Times New Roman" w:cs="Times New Roman"/>
                <w:sz w:val="24"/>
                <w:szCs w:val="24"/>
              </w:rPr>
              <w:t xml:space="preserve">информация за </w:t>
            </w:r>
            <w:r w:rsidRPr="00FB202F">
              <w:rPr>
                <w:rFonts w:ascii="Times New Roman" w:hAnsi="Times New Roman" w:cs="Times New Roman"/>
                <w:sz w:val="24"/>
                <w:szCs w:val="24"/>
              </w:rPr>
              <w:t>индикатори</w:t>
            </w:r>
            <w:r w:rsidR="00FA5CB0">
              <w:rPr>
                <w:rFonts w:ascii="Times New Roman" w:hAnsi="Times New Roman" w:cs="Times New Roman"/>
                <w:sz w:val="24"/>
                <w:szCs w:val="24"/>
              </w:rPr>
              <w:t>те</w:t>
            </w:r>
            <w:r w:rsidRPr="00FB202F">
              <w:rPr>
                <w:rFonts w:ascii="Times New Roman" w:hAnsi="Times New Roman" w:cs="Times New Roman"/>
                <w:sz w:val="24"/>
                <w:szCs w:val="24"/>
              </w:rPr>
              <w:t xml:space="preserve"> за резултат</w:t>
            </w:r>
            <w:r w:rsidR="00115776">
              <w:rPr>
                <w:rFonts w:ascii="Times New Roman" w:hAnsi="Times New Roman" w:cs="Times New Roman"/>
                <w:sz w:val="24"/>
                <w:szCs w:val="24"/>
              </w:rPr>
              <w:t xml:space="preserve"> по т. 7.1.1</w:t>
            </w:r>
            <w:r w:rsidR="00FA5CB0">
              <w:rPr>
                <w:rFonts w:ascii="Times New Roman" w:hAnsi="Times New Roman" w:cs="Times New Roman"/>
                <w:sz w:val="24"/>
                <w:szCs w:val="24"/>
              </w:rPr>
              <w:t xml:space="preserve"> и т. 7.1.3</w:t>
            </w:r>
            <w:r w:rsidR="00115776">
              <w:rPr>
                <w:rFonts w:ascii="Times New Roman" w:hAnsi="Times New Roman" w:cs="Times New Roman"/>
                <w:sz w:val="24"/>
                <w:szCs w:val="24"/>
              </w:rPr>
              <w:t>,</w:t>
            </w:r>
            <w:r w:rsidRPr="00FB202F">
              <w:rPr>
                <w:rFonts w:ascii="Times New Roman" w:hAnsi="Times New Roman" w:cs="Times New Roman"/>
                <w:sz w:val="24"/>
                <w:szCs w:val="24"/>
              </w:rPr>
              <w:t xml:space="preserve"> </w:t>
            </w:r>
            <w:r w:rsidR="00115776">
              <w:rPr>
                <w:rFonts w:ascii="Times New Roman" w:hAnsi="Times New Roman" w:cs="Times New Roman"/>
                <w:sz w:val="24"/>
                <w:szCs w:val="24"/>
              </w:rPr>
              <w:t>като</w:t>
            </w:r>
            <w:r w:rsidR="00FA5CB0">
              <w:rPr>
                <w:rFonts w:ascii="Times New Roman" w:hAnsi="Times New Roman" w:cs="Times New Roman"/>
                <w:sz w:val="24"/>
                <w:szCs w:val="24"/>
              </w:rPr>
              <w:t xml:space="preserve"> индикаторите по т. 7.1.2, 7.1.4 и 7.1.5</w:t>
            </w:r>
            <w:r w:rsidR="00115776">
              <w:rPr>
                <w:rFonts w:ascii="Times New Roman" w:hAnsi="Times New Roman" w:cs="Times New Roman"/>
                <w:sz w:val="24"/>
                <w:szCs w:val="24"/>
              </w:rPr>
              <w:t xml:space="preserve"> се попълват</w:t>
            </w:r>
            <w:r w:rsidR="00FA5CB0">
              <w:rPr>
                <w:rFonts w:ascii="Times New Roman" w:hAnsi="Times New Roman" w:cs="Times New Roman"/>
                <w:sz w:val="24"/>
                <w:szCs w:val="24"/>
              </w:rPr>
              <w:t xml:space="preserve"> съгласно очаквания принос на стратегията (когато е приложимо). </w:t>
            </w:r>
          </w:p>
          <w:p w14:paraId="189CCCC6" w14:textId="0AE6386D" w:rsidR="00954AF0" w:rsidRDefault="00954AF0" w:rsidP="007541D6">
            <w:pPr>
              <w:tabs>
                <w:tab w:val="left" w:pos="0"/>
                <w:tab w:val="left" w:pos="142"/>
              </w:tabs>
              <w:spacing w:line="276" w:lineRule="auto"/>
              <w:ind w:firstLine="567"/>
              <w:jc w:val="both"/>
              <w:rPr>
                <w:rFonts w:ascii="Times New Roman" w:hAnsi="Times New Roman" w:cs="Times New Roman"/>
                <w:sz w:val="24"/>
                <w:szCs w:val="24"/>
              </w:rPr>
            </w:pPr>
            <w:r w:rsidRPr="00F3199A">
              <w:rPr>
                <w:rFonts w:ascii="Times New Roman" w:hAnsi="Times New Roman" w:cs="Times New Roman"/>
                <w:sz w:val="24"/>
                <w:szCs w:val="24"/>
              </w:rPr>
              <w:t xml:space="preserve">При попълване на информация за индикаторите за резултат МИГ посочват </w:t>
            </w:r>
            <w:r w:rsidRPr="00F3199A">
              <w:rPr>
                <w:rFonts w:ascii="Times New Roman" w:hAnsi="Times New Roman" w:cs="Times New Roman"/>
                <w:sz w:val="24"/>
                <w:szCs w:val="24"/>
              </w:rPr>
              <w:lastRenderedPageBreak/>
              <w:t>положителни стойности съгласно очаквания принос на стратегията, като за неприложимите индикатори се попълва стойност 0.</w:t>
            </w:r>
          </w:p>
          <w:p w14:paraId="67DFEF06" w14:textId="2B8CA0F4" w:rsidR="00E07167" w:rsidRPr="00004C3D" w:rsidRDefault="00E07167" w:rsidP="007541D6">
            <w:pPr>
              <w:tabs>
                <w:tab w:val="left" w:pos="0"/>
                <w:tab w:val="left" w:pos="142"/>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Стойностите на индикатори </w:t>
            </w:r>
            <w:r>
              <w:rPr>
                <w:rFonts w:ascii="Times New Roman" w:hAnsi="Times New Roman" w:cs="Times New Roman"/>
                <w:sz w:val="24"/>
                <w:szCs w:val="24"/>
                <w:lang w:val="en-US"/>
              </w:rPr>
              <w:t>R</w:t>
            </w:r>
            <w:r>
              <w:rPr>
                <w:rFonts w:ascii="Times New Roman" w:hAnsi="Times New Roman" w:cs="Times New Roman"/>
                <w:sz w:val="24"/>
                <w:szCs w:val="24"/>
              </w:rPr>
              <w:t>.</w:t>
            </w:r>
            <w:r>
              <w:rPr>
                <w:rFonts w:ascii="Times New Roman" w:hAnsi="Times New Roman" w:cs="Times New Roman"/>
                <w:sz w:val="24"/>
                <w:szCs w:val="24"/>
                <w:lang w:val="en-US"/>
              </w:rPr>
              <w:t>37 R</w:t>
            </w:r>
            <w:r>
              <w:rPr>
                <w:rFonts w:ascii="Times New Roman" w:hAnsi="Times New Roman" w:cs="Times New Roman"/>
                <w:sz w:val="24"/>
                <w:szCs w:val="24"/>
              </w:rPr>
              <w:t>.4</w:t>
            </w:r>
            <w:r>
              <w:rPr>
                <w:rFonts w:ascii="Times New Roman" w:hAnsi="Times New Roman" w:cs="Times New Roman"/>
                <w:sz w:val="24"/>
                <w:szCs w:val="24"/>
                <w:lang w:val="en-US"/>
              </w:rPr>
              <w:t>0</w:t>
            </w:r>
            <w:r>
              <w:rPr>
                <w:rFonts w:ascii="Times New Roman" w:hAnsi="Times New Roman" w:cs="Times New Roman"/>
                <w:sz w:val="24"/>
                <w:szCs w:val="24"/>
              </w:rPr>
              <w:t xml:space="preserve">, </w:t>
            </w:r>
            <w:r>
              <w:rPr>
                <w:rFonts w:ascii="Times New Roman" w:hAnsi="Times New Roman" w:cs="Times New Roman"/>
                <w:sz w:val="24"/>
                <w:szCs w:val="24"/>
                <w:lang w:val="en-US"/>
              </w:rPr>
              <w:t>R</w:t>
            </w:r>
            <w:r>
              <w:rPr>
                <w:rFonts w:ascii="Times New Roman" w:hAnsi="Times New Roman" w:cs="Times New Roman"/>
                <w:sz w:val="24"/>
                <w:szCs w:val="24"/>
              </w:rPr>
              <w:t>.</w:t>
            </w:r>
            <w:r>
              <w:rPr>
                <w:rFonts w:ascii="Times New Roman" w:hAnsi="Times New Roman" w:cs="Times New Roman"/>
                <w:sz w:val="24"/>
                <w:szCs w:val="24"/>
                <w:lang w:val="en-US"/>
              </w:rPr>
              <w:t xml:space="preserve">42 </w:t>
            </w:r>
            <w:r>
              <w:rPr>
                <w:rFonts w:ascii="Times New Roman" w:hAnsi="Times New Roman" w:cs="Times New Roman"/>
                <w:sz w:val="24"/>
                <w:szCs w:val="24"/>
              </w:rPr>
              <w:t xml:space="preserve">и </w:t>
            </w:r>
            <w:r>
              <w:rPr>
                <w:rFonts w:ascii="Times New Roman" w:hAnsi="Times New Roman" w:cs="Times New Roman"/>
                <w:sz w:val="24"/>
                <w:szCs w:val="24"/>
                <w:lang w:val="en-US"/>
              </w:rPr>
              <w:t>R</w:t>
            </w:r>
            <w:r>
              <w:rPr>
                <w:rFonts w:ascii="Times New Roman" w:hAnsi="Times New Roman" w:cs="Times New Roman"/>
                <w:sz w:val="24"/>
                <w:szCs w:val="24"/>
              </w:rPr>
              <w:t>.</w:t>
            </w:r>
            <w:r>
              <w:rPr>
                <w:rFonts w:ascii="Times New Roman" w:hAnsi="Times New Roman" w:cs="Times New Roman"/>
                <w:sz w:val="24"/>
                <w:szCs w:val="24"/>
                <w:lang w:val="en-US"/>
              </w:rPr>
              <w:t>0</w:t>
            </w:r>
            <w:r>
              <w:rPr>
                <w:rFonts w:ascii="Times New Roman" w:hAnsi="Times New Roman" w:cs="Times New Roman"/>
                <w:sz w:val="24"/>
                <w:szCs w:val="24"/>
              </w:rPr>
              <w:t xml:space="preserve"> се посочват от МИГ с мерна единица „брой“, а стойността по индикатор </w:t>
            </w:r>
            <w:r>
              <w:rPr>
                <w:rFonts w:ascii="Times New Roman" w:hAnsi="Times New Roman" w:cs="Times New Roman"/>
                <w:sz w:val="24"/>
                <w:szCs w:val="24"/>
                <w:lang w:val="en-US"/>
              </w:rPr>
              <w:t>R.</w:t>
            </w:r>
            <w:r>
              <w:rPr>
                <w:rFonts w:ascii="Times New Roman" w:hAnsi="Times New Roman" w:cs="Times New Roman"/>
                <w:sz w:val="24"/>
                <w:szCs w:val="24"/>
              </w:rPr>
              <w:t xml:space="preserve">41 се посочва с мерна единица „процент“. </w:t>
            </w:r>
          </w:p>
          <w:p w14:paraId="1B0CF8B8" w14:textId="67344B87" w:rsidR="003935EC" w:rsidRDefault="003935EC" w:rsidP="007541D6">
            <w:pPr>
              <w:tabs>
                <w:tab w:val="left" w:pos="0"/>
                <w:tab w:val="left" w:pos="142"/>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Всеки индикатор трябва да бъде количествено определен</w:t>
            </w:r>
            <w:r w:rsidR="00635C33">
              <w:rPr>
                <w:rFonts w:ascii="Times New Roman" w:hAnsi="Times New Roman" w:cs="Times New Roman"/>
                <w:sz w:val="24"/>
                <w:szCs w:val="24"/>
              </w:rPr>
              <w:t xml:space="preserve"> като с</w:t>
            </w:r>
            <w:r w:rsidR="00FF39DB" w:rsidRPr="00FB202F">
              <w:rPr>
                <w:rFonts w:ascii="Times New Roman" w:hAnsi="Times New Roman" w:cs="Times New Roman"/>
                <w:sz w:val="24"/>
                <w:szCs w:val="24"/>
              </w:rPr>
              <w:t xml:space="preserve">тойностите на </w:t>
            </w:r>
            <w:r w:rsidR="00635C33">
              <w:rPr>
                <w:rFonts w:ascii="Times New Roman" w:hAnsi="Times New Roman" w:cs="Times New Roman"/>
                <w:sz w:val="24"/>
                <w:szCs w:val="24"/>
              </w:rPr>
              <w:t xml:space="preserve">индикаторите </w:t>
            </w:r>
            <w:r w:rsidR="00FF39DB" w:rsidRPr="00FB202F">
              <w:rPr>
                <w:rFonts w:ascii="Times New Roman" w:hAnsi="Times New Roman" w:cs="Times New Roman"/>
                <w:sz w:val="24"/>
                <w:szCs w:val="24"/>
              </w:rPr>
              <w:t>следва да бъдат определени реалистично</w:t>
            </w:r>
            <w:r w:rsidR="00E07167">
              <w:rPr>
                <w:rFonts w:ascii="Times New Roman" w:hAnsi="Times New Roman" w:cs="Times New Roman"/>
                <w:sz w:val="24"/>
                <w:szCs w:val="24"/>
              </w:rPr>
              <w:t xml:space="preserve"> чрез аналитични методи, т.ч. социално-икономически анализи на територията, анкетни проучвания, натрупан опит в изпълнение на стратегията за ВОМР и др. Стойностите на индикаторите следва да са </w:t>
            </w:r>
            <w:r w:rsidR="00FF39DB" w:rsidRPr="00FB202F">
              <w:rPr>
                <w:rFonts w:ascii="Times New Roman" w:hAnsi="Times New Roman" w:cs="Times New Roman"/>
                <w:sz w:val="24"/>
                <w:szCs w:val="24"/>
              </w:rPr>
              <w:t xml:space="preserve">проверими и да са в съответствие с целите и приоритетите на стратегията за ВОМР. </w:t>
            </w:r>
            <w:r w:rsidR="00E07167">
              <w:rPr>
                <w:rFonts w:ascii="Times New Roman" w:hAnsi="Times New Roman" w:cs="Times New Roman"/>
                <w:sz w:val="24"/>
                <w:szCs w:val="24"/>
              </w:rPr>
              <w:t>Местните инициативни група следва да</w:t>
            </w:r>
            <w:r w:rsidRPr="00FB202F">
              <w:rPr>
                <w:rFonts w:ascii="Times New Roman" w:hAnsi="Times New Roman" w:cs="Times New Roman"/>
                <w:sz w:val="24"/>
                <w:szCs w:val="24"/>
              </w:rPr>
              <w:t xml:space="preserve"> впишат източниците на информация</w:t>
            </w:r>
            <w:r w:rsidR="00E07167">
              <w:rPr>
                <w:rFonts w:ascii="Times New Roman" w:hAnsi="Times New Roman" w:cs="Times New Roman"/>
                <w:sz w:val="24"/>
                <w:szCs w:val="24"/>
              </w:rPr>
              <w:t xml:space="preserve"> </w:t>
            </w:r>
            <w:r w:rsidR="00E07167">
              <w:rPr>
                <w:rFonts w:ascii="Times New Roman" w:hAnsi="Times New Roman" w:cs="Times New Roman"/>
                <w:sz w:val="24"/>
                <w:szCs w:val="24"/>
                <w:lang w:val="en-US"/>
              </w:rPr>
              <w:t>(</w:t>
            </w:r>
            <w:r w:rsidR="00E07167">
              <w:rPr>
                <w:rFonts w:ascii="Times New Roman" w:hAnsi="Times New Roman" w:cs="Times New Roman"/>
                <w:sz w:val="24"/>
                <w:szCs w:val="24"/>
              </w:rPr>
              <w:t>проектни предложения</w:t>
            </w:r>
            <w:r w:rsidR="00E07167">
              <w:rPr>
                <w:rFonts w:ascii="Times New Roman" w:hAnsi="Times New Roman" w:cs="Times New Roman"/>
                <w:sz w:val="24"/>
                <w:szCs w:val="24"/>
                <w:lang w:val="en-US"/>
              </w:rPr>
              <w:t>)</w:t>
            </w:r>
            <w:r w:rsidRPr="00FB202F">
              <w:rPr>
                <w:rFonts w:ascii="Times New Roman" w:hAnsi="Times New Roman" w:cs="Times New Roman"/>
                <w:sz w:val="24"/>
                <w:szCs w:val="24"/>
              </w:rPr>
              <w:t xml:space="preserve">, от които може да се провери степента на постигане на различните индикатори.  </w:t>
            </w:r>
          </w:p>
          <w:p w14:paraId="5BAE65A9" w14:textId="35A5DD71" w:rsidR="009F41C9" w:rsidRDefault="000A6E45" w:rsidP="007541D6">
            <w:pPr>
              <w:tabs>
                <w:tab w:val="left" w:pos="0"/>
                <w:tab w:val="left" w:pos="142"/>
              </w:tabs>
              <w:spacing w:line="276" w:lineRule="auto"/>
              <w:ind w:firstLine="567"/>
              <w:jc w:val="both"/>
              <w:rPr>
                <w:rFonts w:ascii="Times New Roman" w:hAnsi="Times New Roman" w:cs="Times New Roman"/>
                <w:sz w:val="24"/>
                <w:szCs w:val="24"/>
              </w:rPr>
            </w:pPr>
            <w:r w:rsidRPr="000A6E45">
              <w:rPr>
                <w:rFonts w:ascii="Times New Roman" w:hAnsi="Times New Roman" w:cs="Times New Roman"/>
                <w:sz w:val="24"/>
                <w:szCs w:val="24"/>
              </w:rPr>
              <w:t>Всяка МИГ следва да включи най-малко един от петте основни индикатори за резултат във всяка мярка от СВОМР, финансирана със средства от ЕЗФРСР в зависимост от нейните специфики и очакваните ефекти от нейното изпълнение. МИГ могат да включват и допълнителни специфични за съответната стратегия за ВОМР индикатори за резултат по всяка мярка.</w:t>
            </w:r>
          </w:p>
          <w:p w14:paraId="2F1A53F2" w14:textId="77777777" w:rsidR="000A6E45" w:rsidRPr="00FB202F" w:rsidRDefault="000A6E45" w:rsidP="007541D6">
            <w:pPr>
              <w:tabs>
                <w:tab w:val="left" w:pos="0"/>
                <w:tab w:val="left" w:pos="142"/>
              </w:tabs>
              <w:spacing w:line="276" w:lineRule="auto"/>
              <w:ind w:firstLine="567"/>
              <w:jc w:val="both"/>
              <w:rPr>
                <w:rFonts w:ascii="Times New Roman" w:hAnsi="Times New Roman" w:cs="Times New Roman"/>
                <w:sz w:val="24"/>
                <w:szCs w:val="24"/>
              </w:rPr>
            </w:pPr>
          </w:p>
          <w:p w14:paraId="420A028E" w14:textId="33CF1B7E" w:rsidR="009F41C9" w:rsidRPr="00F3199A" w:rsidRDefault="003D47F7" w:rsidP="007541D6">
            <w:pPr>
              <w:tabs>
                <w:tab w:val="left" w:pos="0"/>
                <w:tab w:val="left" w:pos="142"/>
              </w:tabs>
              <w:spacing w:after="200" w:line="276" w:lineRule="auto"/>
              <w:ind w:firstLine="567"/>
              <w:jc w:val="both"/>
              <w:rPr>
                <w:rFonts w:ascii="Times New Roman" w:hAnsi="Times New Roman" w:cs="Times New Roman"/>
                <w:sz w:val="24"/>
                <w:szCs w:val="24"/>
              </w:rPr>
            </w:pPr>
            <w:r w:rsidRPr="00F3199A">
              <w:rPr>
                <w:rFonts w:ascii="Times New Roman" w:hAnsi="Times New Roman" w:cs="Times New Roman"/>
                <w:sz w:val="24"/>
                <w:szCs w:val="24"/>
              </w:rPr>
              <w:t>7.</w:t>
            </w:r>
            <w:r w:rsidR="00A634A2" w:rsidRPr="00F3199A">
              <w:rPr>
                <w:rFonts w:ascii="Times New Roman" w:hAnsi="Times New Roman" w:cs="Times New Roman"/>
                <w:sz w:val="24"/>
                <w:szCs w:val="24"/>
              </w:rPr>
              <w:t>2. В стратегия за ВОМР, която е приложение към формуляра за кандидатстване</w:t>
            </w:r>
            <w:r w:rsidR="00660E4C" w:rsidRPr="00F3199A">
              <w:rPr>
                <w:rFonts w:ascii="Times New Roman" w:hAnsi="Times New Roman" w:cs="Times New Roman"/>
                <w:sz w:val="24"/>
                <w:szCs w:val="24"/>
              </w:rPr>
              <w:t>, МИГ включва и специфични</w:t>
            </w:r>
            <w:r w:rsidR="00A634A2" w:rsidRPr="00F3199A">
              <w:rPr>
                <w:rFonts w:ascii="Times New Roman" w:hAnsi="Times New Roman" w:cs="Times New Roman"/>
                <w:sz w:val="24"/>
                <w:szCs w:val="24"/>
              </w:rPr>
              <w:t xml:space="preserve"> индикатори</w:t>
            </w:r>
            <w:r w:rsidR="000A6E45">
              <w:rPr>
                <w:rFonts w:ascii="Times New Roman" w:hAnsi="Times New Roman" w:cs="Times New Roman"/>
                <w:sz w:val="24"/>
                <w:szCs w:val="24"/>
              </w:rPr>
              <w:t>.</w:t>
            </w:r>
          </w:p>
          <w:p w14:paraId="4A0055C4" w14:textId="77777777" w:rsidR="00660E4C" w:rsidRPr="00FB202F" w:rsidRDefault="00660E4C" w:rsidP="007541D6">
            <w:pPr>
              <w:pStyle w:val="ListParagraph"/>
              <w:tabs>
                <w:tab w:val="left" w:pos="0"/>
                <w:tab w:val="left" w:pos="142"/>
              </w:tabs>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Индикаторите се избират от МИГ, за да измерват постигането на целите на стратегията за ВОМР. Те трябва да са избрани по начин, позволяващ проследяването на напредъка в изпълнението на дейностите и резултатите от прилагане на стратегията за ВОМР, в рамките на система за текущ мониторинг и оценка, разработена и прилагана от МИГ. Тази система трябва да включва всички дейности за мониторинг и оценка.</w:t>
            </w:r>
          </w:p>
          <w:p w14:paraId="09E70AFC" w14:textId="77777777" w:rsidR="00660E4C" w:rsidRPr="00FB202F" w:rsidRDefault="00660E4C" w:rsidP="007541D6">
            <w:pPr>
              <w:tabs>
                <w:tab w:val="left" w:pos="0"/>
                <w:tab w:val="left" w:pos="142"/>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В стратегиите за ВОМР следва да се изберат:</w:t>
            </w:r>
          </w:p>
          <w:p w14:paraId="7F9D23A9" w14:textId="654FE305" w:rsidR="00660E4C" w:rsidRPr="00FB202F" w:rsidRDefault="003D47F7" w:rsidP="007541D6">
            <w:pPr>
              <w:pStyle w:val="ListParagraph"/>
              <w:tabs>
                <w:tab w:val="left" w:pos="0"/>
                <w:tab w:val="left" w:pos="142"/>
              </w:tabs>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7.2.</w:t>
            </w:r>
            <w:r w:rsidR="00660E4C" w:rsidRPr="00FB202F">
              <w:rPr>
                <w:rFonts w:ascii="Times New Roman" w:hAnsi="Times New Roman" w:cs="Times New Roman"/>
                <w:sz w:val="24"/>
                <w:szCs w:val="24"/>
              </w:rPr>
              <w:t>1. Индикатори за цялостното прилагане на стратегията за ВОМР, включително брой създадени работни места (изходни (за изпълнение/продукт) и за резултат);</w:t>
            </w:r>
          </w:p>
          <w:p w14:paraId="4A6DFA7D" w14:textId="261D5E3B" w:rsidR="00660E4C" w:rsidRPr="00FB202F" w:rsidRDefault="003D47F7" w:rsidP="007541D6">
            <w:pPr>
              <w:tabs>
                <w:tab w:val="left" w:pos="0"/>
                <w:tab w:val="left" w:pos="142"/>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7.2.</w:t>
            </w:r>
            <w:r w:rsidR="00660E4C" w:rsidRPr="00FB202F">
              <w:rPr>
                <w:rFonts w:ascii="Times New Roman" w:hAnsi="Times New Roman" w:cs="Times New Roman"/>
                <w:sz w:val="24"/>
                <w:szCs w:val="24"/>
              </w:rPr>
              <w:t>2. Индикаторите по мерки (изходни (за изпълнение/продукт) и за резултат).</w:t>
            </w:r>
          </w:p>
          <w:p w14:paraId="782F5D0E" w14:textId="77777777" w:rsidR="00660E4C" w:rsidRPr="00FB202F" w:rsidRDefault="00660E4C" w:rsidP="007541D6">
            <w:pPr>
              <w:tabs>
                <w:tab w:val="left" w:pos="0"/>
                <w:tab w:val="left" w:pos="142"/>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Изходните индикатори (за изпълнение/продукт) са свързани пряко с дейностите, след изпълнението на стратегията за ВОМР, например: „брой финансирани проектни предложения в рамките на стратегията за ВОМР“, „брой на сключените договори“, „стойност на сключените договори“ и др.</w:t>
            </w:r>
          </w:p>
          <w:p w14:paraId="4C11E582" w14:textId="77777777" w:rsidR="00660E4C" w:rsidRPr="00FB202F" w:rsidRDefault="00660E4C" w:rsidP="007541D6">
            <w:pPr>
              <w:tabs>
                <w:tab w:val="left" w:pos="0"/>
                <w:tab w:val="left" w:pos="142"/>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Индикаторите за резултат са пряко свързани със специфичните цели на стратегията за ВОМР, например: Ако в стратегията за ВОМР е избрана специфична цел: „Развитие на земеделски стопанства и предприятия и повишаване конкурентоспособността на селското стопанство“, то за нейното измерване би могло да се избере индикатор: „брой работни места, разкрити в подпомогнатите проекти“, „брой модернизирани земеделски стопанства/предприятия“ и т.н.</w:t>
            </w:r>
          </w:p>
          <w:p w14:paraId="136E84C3" w14:textId="41B19116" w:rsidR="00A634A2" w:rsidRPr="00FB202F" w:rsidRDefault="00ED1362" w:rsidP="007541D6">
            <w:pPr>
              <w:pStyle w:val="ListParagraph"/>
              <w:tabs>
                <w:tab w:val="left" w:pos="0"/>
                <w:tab w:val="left" w:pos="142"/>
                <w:tab w:val="left" w:pos="1152"/>
              </w:tabs>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За отч</w:t>
            </w:r>
            <w:r w:rsidR="00F95B00">
              <w:rPr>
                <w:rFonts w:ascii="Times New Roman" w:hAnsi="Times New Roman" w:cs="Times New Roman"/>
                <w:sz w:val="24"/>
                <w:szCs w:val="24"/>
              </w:rPr>
              <w:t>итане на</w:t>
            </w:r>
            <w:r w:rsidRPr="00FB202F">
              <w:rPr>
                <w:rFonts w:ascii="Times New Roman" w:hAnsi="Times New Roman" w:cs="Times New Roman"/>
                <w:sz w:val="24"/>
                <w:szCs w:val="24"/>
              </w:rPr>
              <w:t xml:space="preserve"> едно работно място п</w:t>
            </w:r>
            <w:r w:rsidR="00912D31">
              <w:rPr>
                <w:rFonts w:ascii="Times New Roman" w:hAnsi="Times New Roman" w:cs="Times New Roman"/>
                <w:sz w:val="24"/>
                <w:szCs w:val="24"/>
              </w:rPr>
              <w:t>о</w:t>
            </w:r>
            <w:r w:rsidR="00660E4C" w:rsidRPr="00FB202F">
              <w:rPr>
                <w:rFonts w:ascii="Times New Roman" w:hAnsi="Times New Roman" w:cs="Times New Roman"/>
                <w:sz w:val="24"/>
                <w:szCs w:val="24"/>
              </w:rPr>
              <w:t xml:space="preserve"> индикатор R</w:t>
            </w:r>
            <w:r w:rsidR="00201E59">
              <w:rPr>
                <w:rFonts w:ascii="Times New Roman" w:hAnsi="Times New Roman" w:cs="Times New Roman"/>
                <w:sz w:val="24"/>
                <w:szCs w:val="24"/>
              </w:rPr>
              <w:t>.37</w:t>
            </w:r>
            <w:r w:rsidR="00660E4C" w:rsidRPr="00FB202F">
              <w:rPr>
                <w:rFonts w:ascii="Times New Roman" w:hAnsi="Times New Roman" w:cs="Times New Roman"/>
                <w:sz w:val="24"/>
                <w:szCs w:val="24"/>
              </w:rPr>
              <w:t xml:space="preserve"> „Нови работни места по подкрепените проекти“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r w:rsidR="00912D31">
              <w:rPr>
                <w:rFonts w:ascii="Times New Roman" w:hAnsi="Times New Roman" w:cs="Times New Roman"/>
                <w:sz w:val="24"/>
                <w:szCs w:val="24"/>
              </w:rPr>
              <w:t xml:space="preserve"> </w:t>
            </w:r>
          </w:p>
        </w:tc>
      </w:tr>
    </w:tbl>
    <w:p w14:paraId="070B5B4F" w14:textId="77777777" w:rsidR="003935EC" w:rsidRPr="00FB202F" w:rsidRDefault="003935EC" w:rsidP="00044F85">
      <w:pPr>
        <w:tabs>
          <w:tab w:val="left" w:pos="0"/>
          <w:tab w:val="left" w:pos="142"/>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165AA61E" w14:textId="77777777" w:rsidTr="000D7565">
        <w:tc>
          <w:tcPr>
            <w:tcW w:w="9781" w:type="dxa"/>
          </w:tcPr>
          <w:p w14:paraId="59BA9EB8" w14:textId="654EA807" w:rsidR="003935EC" w:rsidRPr="00FB202F" w:rsidRDefault="003935EC" w:rsidP="007541D6">
            <w:pPr>
              <w:numPr>
                <w:ilvl w:val="0"/>
                <w:numId w:val="1"/>
              </w:numPr>
              <w:tabs>
                <w:tab w:val="left" w:pos="0"/>
                <w:tab w:val="left" w:pos="142"/>
              </w:tabs>
              <w:spacing w:line="276" w:lineRule="auto"/>
              <w:ind w:left="0" w:firstLine="567"/>
              <w:contextualSpacing/>
              <w:jc w:val="both"/>
              <w:rPr>
                <w:rFonts w:ascii="Times New Roman" w:hAnsi="Times New Roman" w:cs="Times New Roman"/>
                <w:b/>
                <w:sz w:val="24"/>
                <w:szCs w:val="24"/>
              </w:rPr>
            </w:pPr>
            <w:r w:rsidRPr="00FB202F">
              <w:rPr>
                <w:rFonts w:ascii="Times New Roman" w:hAnsi="Times New Roman" w:cs="Times New Roman"/>
                <w:b/>
                <w:sz w:val="24"/>
                <w:szCs w:val="24"/>
              </w:rPr>
              <w:t>Общ размер на безвъзмездната финансова помощ по процедурата:</w:t>
            </w:r>
          </w:p>
          <w:p w14:paraId="10F8FE4F" w14:textId="061915D8" w:rsidR="005C0CA4" w:rsidRDefault="003935EC" w:rsidP="007541D6">
            <w:pPr>
              <w:tabs>
                <w:tab w:val="left" w:pos="0"/>
                <w:tab w:val="left" w:pos="142"/>
              </w:tabs>
              <w:spacing w:line="276" w:lineRule="auto"/>
              <w:ind w:firstLine="567"/>
              <w:contextualSpacing/>
              <w:jc w:val="both"/>
              <w:rPr>
                <w:rFonts w:ascii="Times New Roman" w:hAnsi="Times New Roman" w:cs="Times New Roman"/>
                <w:bCs/>
                <w:sz w:val="24"/>
                <w:szCs w:val="24"/>
              </w:rPr>
            </w:pPr>
            <w:r w:rsidRPr="00FB202F">
              <w:rPr>
                <w:rFonts w:ascii="Times New Roman" w:hAnsi="Times New Roman" w:cs="Times New Roman"/>
                <w:bCs/>
                <w:sz w:val="24"/>
                <w:szCs w:val="24"/>
              </w:rPr>
              <w:t xml:space="preserve">Общият размер на безвъзмездната финансова помощ </w:t>
            </w:r>
            <w:r w:rsidR="00ED1362" w:rsidRPr="00FB202F">
              <w:rPr>
                <w:rFonts w:ascii="Times New Roman" w:hAnsi="Times New Roman" w:cs="Times New Roman"/>
                <w:bCs/>
                <w:sz w:val="24"/>
                <w:szCs w:val="24"/>
              </w:rPr>
              <w:t>по С</w:t>
            </w:r>
            <w:r w:rsidR="002D2369">
              <w:rPr>
                <w:rFonts w:ascii="Times New Roman" w:hAnsi="Times New Roman" w:cs="Times New Roman"/>
                <w:bCs/>
                <w:sz w:val="24"/>
                <w:szCs w:val="24"/>
              </w:rPr>
              <w:t>ПРЗСР</w:t>
            </w:r>
            <w:r w:rsidR="00ED1362" w:rsidRPr="00FB202F">
              <w:rPr>
                <w:rFonts w:ascii="Times New Roman" w:hAnsi="Times New Roman" w:cs="Times New Roman"/>
                <w:bCs/>
                <w:sz w:val="24"/>
                <w:szCs w:val="24"/>
              </w:rPr>
              <w:t xml:space="preserve"> </w:t>
            </w:r>
            <w:r w:rsidRPr="00FB202F">
              <w:rPr>
                <w:rFonts w:ascii="Times New Roman" w:hAnsi="Times New Roman" w:cs="Times New Roman"/>
                <w:bCs/>
                <w:sz w:val="24"/>
                <w:szCs w:val="24"/>
              </w:rPr>
              <w:t>по процедурата е</w:t>
            </w:r>
            <w:r w:rsidR="005C0CA4" w:rsidRPr="00FB202F">
              <w:rPr>
                <w:rFonts w:ascii="Times New Roman" w:hAnsi="Times New Roman" w:cs="Times New Roman"/>
                <w:bCs/>
                <w:sz w:val="24"/>
                <w:szCs w:val="24"/>
              </w:rPr>
              <w:t xml:space="preserve"> </w:t>
            </w:r>
            <w:r w:rsidR="00E753DA" w:rsidRPr="00FB202F">
              <w:rPr>
                <w:rFonts w:ascii="Times New Roman" w:hAnsi="Times New Roman" w:cs="Times New Roman"/>
                <w:bCs/>
                <w:sz w:val="24"/>
                <w:szCs w:val="24"/>
              </w:rPr>
              <w:t xml:space="preserve">556 743 191,34 </w:t>
            </w:r>
            <w:r w:rsidRPr="00FB202F">
              <w:rPr>
                <w:rFonts w:ascii="Times New Roman" w:hAnsi="Times New Roman" w:cs="Times New Roman"/>
                <w:bCs/>
                <w:sz w:val="24"/>
                <w:szCs w:val="24"/>
              </w:rPr>
              <w:t>(</w:t>
            </w:r>
            <w:r w:rsidR="005C0CA4" w:rsidRPr="00FB202F">
              <w:rPr>
                <w:rFonts w:ascii="Times New Roman" w:hAnsi="Times New Roman" w:cs="Times New Roman"/>
                <w:bCs/>
                <w:sz w:val="24"/>
                <w:szCs w:val="24"/>
              </w:rPr>
              <w:t>петстотин петдесет и шест милиона седемстотин четиридесет и три хиляди сто деветдесет и е</w:t>
            </w:r>
            <w:r w:rsidR="00E753DA" w:rsidRPr="00FB202F">
              <w:rPr>
                <w:rFonts w:ascii="Times New Roman" w:hAnsi="Times New Roman" w:cs="Times New Roman"/>
                <w:bCs/>
                <w:sz w:val="24"/>
                <w:szCs w:val="24"/>
              </w:rPr>
              <w:t>дин</w:t>
            </w:r>
            <w:r w:rsidR="005C0CA4" w:rsidRPr="00FB202F">
              <w:rPr>
                <w:rFonts w:ascii="Times New Roman" w:hAnsi="Times New Roman" w:cs="Times New Roman"/>
                <w:bCs/>
                <w:sz w:val="24"/>
                <w:szCs w:val="24"/>
              </w:rPr>
              <w:t xml:space="preserve"> лева и </w:t>
            </w:r>
            <w:r w:rsidR="00E753DA" w:rsidRPr="00FB202F">
              <w:rPr>
                <w:rFonts w:ascii="Times New Roman" w:hAnsi="Times New Roman" w:cs="Times New Roman"/>
                <w:bCs/>
                <w:sz w:val="24"/>
                <w:szCs w:val="24"/>
              </w:rPr>
              <w:t xml:space="preserve">тридесет и четири </w:t>
            </w:r>
            <w:r w:rsidR="005C0CA4" w:rsidRPr="00FB202F">
              <w:rPr>
                <w:rFonts w:ascii="Times New Roman" w:hAnsi="Times New Roman" w:cs="Times New Roman"/>
                <w:bCs/>
                <w:sz w:val="24"/>
                <w:szCs w:val="24"/>
              </w:rPr>
              <w:t>стотинки</w:t>
            </w:r>
            <w:r w:rsidRPr="00FB202F">
              <w:rPr>
                <w:rFonts w:ascii="Times New Roman" w:hAnsi="Times New Roman" w:cs="Times New Roman"/>
                <w:bCs/>
                <w:sz w:val="24"/>
                <w:szCs w:val="24"/>
              </w:rPr>
              <w:t>)</w:t>
            </w:r>
            <w:r w:rsidR="00360835">
              <w:rPr>
                <w:rFonts w:ascii="Times New Roman" w:hAnsi="Times New Roman" w:cs="Times New Roman"/>
                <w:bCs/>
                <w:sz w:val="24"/>
                <w:szCs w:val="24"/>
              </w:rPr>
              <w:t xml:space="preserve"> </w:t>
            </w:r>
            <w:r w:rsidR="00360835" w:rsidRPr="00FB202F">
              <w:rPr>
                <w:rFonts w:ascii="Times New Roman" w:hAnsi="Times New Roman" w:cs="Times New Roman"/>
                <w:bCs/>
                <w:sz w:val="24"/>
                <w:szCs w:val="24"/>
              </w:rPr>
              <w:t>лева</w:t>
            </w:r>
            <w:r w:rsidR="002D2369">
              <w:rPr>
                <w:rFonts w:ascii="Times New Roman" w:hAnsi="Times New Roman" w:cs="Times New Roman"/>
                <w:bCs/>
                <w:sz w:val="24"/>
                <w:szCs w:val="24"/>
              </w:rPr>
              <w:t xml:space="preserve">, от които </w:t>
            </w:r>
            <w:r w:rsidR="00F37182">
              <w:rPr>
                <w:rFonts w:ascii="Times New Roman" w:hAnsi="Times New Roman" w:cs="Times New Roman"/>
                <w:bCs/>
                <w:sz w:val="24"/>
                <w:szCs w:val="24"/>
              </w:rPr>
              <w:t>40 на ст</w:t>
            </w:r>
            <w:r w:rsidR="002A1BA0">
              <w:rPr>
                <w:rFonts w:ascii="Times New Roman" w:hAnsi="Times New Roman" w:cs="Times New Roman"/>
                <w:bCs/>
                <w:sz w:val="24"/>
                <w:szCs w:val="24"/>
              </w:rPr>
              <w:t xml:space="preserve">о се финансират от ЕЗФРСР и </w:t>
            </w:r>
            <w:r w:rsidR="002D2369">
              <w:rPr>
                <w:rFonts w:ascii="Times New Roman" w:hAnsi="Times New Roman" w:cs="Times New Roman"/>
                <w:bCs/>
                <w:sz w:val="24"/>
                <w:szCs w:val="24"/>
              </w:rPr>
              <w:t>60 на сто</w:t>
            </w:r>
            <w:r w:rsidR="002A1BA0">
              <w:rPr>
                <w:rFonts w:ascii="Times New Roman" w:hAnsi="Times New Roman" w:cs="Times New Roman"/>
                <w:bCs/>
                <w:sz w:val="24"/>
                <w:szCs w:val="24"/>
              </w:rPr>
              <w:t xml:space="preserve"> са национално съфинансиране</w:t>
            </w:r>
            <w:r w:rsidR="005C0CA4" w:rsidRPr="00FB202F">
              <w:rPr>
                <w:rFonts w:ascii="Times New Roman" w:hAnsi="Times New Roman" w:cs="Times New Roman"/>
                <w:bCs/>
                <w:sz w:val="24"/>
                <w:szCs w:val="24"/>
              </w:rPr>
              <w:t xml:space="preserve">. </w:t>
            </w:r>
          </w:p>
          <w:p w14:paraId="52178A50" w14:textId="77777777" w:rsidR="002D2369" w:rsidRPr="00FB202F" w:rsidRDefault="002D2369" w:rsidP="007541D6">
            <w:pPr>
              <w:tabs>
                <w:tab w:val="left" w:pos="0"/>
                <w:tab w:val="left" w:pos="142"/>
              </w:tabs>
              <w:spacing w:line="276" w:lineRule="auto"/>
              <w:ind w:firstLine="567"/>
              <w:contextualSpacing/>
              <w:jc w:val="both"/>
              <w:rPr>
                <w:rFonts w:ascii="Times New Roman" w:hAnsi="Times New Roman" w:cs="Times New Roman"/>
                <w:bCs/>
                <w:sz w:val="24"/>
                <w:szCs w:val="24"/>
              </w:rPr>
            </w:pPr>
          </w:p>
          <w:p w14:paraId="608F3397" w14:textId="76D8F556" w:rsidR="00F92BE5" w:rsidRPr="00FB202F" w:rsidRDefault="005C0CA4" w:rsidP="007541D6">
            <w:pPr>
              <w:tabs>
                <w:tab w:val="left" w:pos="0"/>
                <w:tab w:val="left" w:pos="142"/>
              </w:tabs>
              <w:spacing w:line="276" w:lineRule="auto"/>
              <w:ind w:firstLine="567"/>
              <w:contextualSpacing/>
              <w:jc w:val="both"/>
              <w:rPr>
                <w:rFonts w:ascii="Times New Roman" w:hAnsi="Times New Roman" w:cs="Times New Roman"/>
                <w:bCs/>
                <w:sz w:val="24"/>
                <w:szCs w:val="24"/>
              </w:rPr>
            </w:pPr>
            <w:r w:rsidRPr="00FB202F">
              <w:rPr>
                <w:rFonts w:ascii="Times New Roman" w:hAnsi="Times New Roman" w:cs="Times New Roman"/>
                <w:bCs/>
                <w:sz w:val="24"/>
                <w:szCs w:val="24"/>
              </w:rPr>
              <w:t xml:space="preserve">За подкрепа на стратегиите за ВОМР </w:t>
            </w:r>
            <w:r w:rsidR="006C038C" w:rsidRPr="00FB202F">
              <w:rPr>
                <w:rFonts w:ascii="Times New Roman" w:hAnsi="Times New Roman" w:cs="Times New Roman"/>
                <w:bCs/>
                <w:sz w:val="24"/>
                <w:szCs w:val="24"/>
              </w:rPr>
              <w:t>е предвиден</w:t>
            </w:r>
            <w:r w:rsidR="005D616B" w:rsidRPr="00FB202F">
              <w:rPr>
                <w:rFonts w:ascii="Times New Roman" w:hAnsi="Times New Roman" w:cs="Times New Roman"/>
                <w:bCs/>
                <w:sz w:val="24"/>
                <w:szCs w:val="24"/>
              </w:rPr>
              <w:t>о</w:t>
            </w:r>
            <w:r w:rsidR="006C038C" w:rsidRPr="00FB202F">
              <w:rPr>
                <w:rFonts w:ascii="Times New Roman" w:hAnsi="Times New Roman" w:cs="Times New Roman"/>
                <w:bCs/>
                <w:sz w:val="24"/>
                <w:szCs w:val="24"/>
              </w:rPr>
              <w:t xml:space="preserve"> </w:t>
            </w:r>
            <w:r w:rsidR="005D616B" w:rsidRPr="00FB202F">
              <w:rPr>
                <w:rFonts w:ascii="Times New Roman" w:hAnsi="Times New Roman" w:cs="Times New Roman"/>
                <w:bCs/>
                <w:sz w:val="24"/>
                <w:szCs w:val="24"/>
              </w:rPr>
              <w:t xml:space="preserve">допълващо финансиране с </w:t>
            </w:r>
            <w:r w:rsidR="006C038C" w:rsidRPr="00FB202F">
              <w:rPr>
                <w:rFonts w:ascii="Times New Roman" w:hAnsi="Times New Roman" w:cs="Times New Roman"/>
                <w:bCs/>
                <w:sz w:val="24"/>
                <w:szCs w:val="24"/>
              </w:rPr>
              <w:t xml:space="preserve">финансов ресурс </w:t>
            </w:r>
            <w:r w:rsidRPr="00FB202F">
              <w:rPr>
                <w:rFonts w:ascii="Times New Roman" w:hAnsi="Times New Roman" w:cs="Times New Roman"/>
                <w:bCs/>
                <w:sz w:val="24"/>
                <w:szCs w:val="24"/>
              </w:rPr>
              <w:t>от ЕСФ+ и ЕФРР, както следва</w:t>
            </w:r>
            <w:r w:rsidR="00F92BE5" w:rsidRPr="00FB202F">
              <w:rPr>
                <w:rFonts w:ascii="Times New Roman" w:hAnsi="Times New Roman" w:cs="Times New Roman"/>
                <w:bCs/>
                <w:sz w:val="24"/>
                <w:szCs w:val="24"/>
              </w:rPr>
              <w:t>:</w:t>
            </w:r>
          </w:p>
          <w:p w14:paraId="18A5F856" w14:textId="7E72EF90" w:rsidR="00DB216D" w:rsidRPr="00FB202F" w:rsidRDefault="00DB216D" w:rsidP="007541D6">
            <w:pPr>
              <w:pStyle w:val="ListParagraph"/>
              <w:numPr>
                <w:ilvl w:val="0"/>
                <w:numId w:val="7"/>
              </w:numPr>
              <w:tabs>
                <w:tab w:val="left" w:pos="0"/>
                <w:tab w:val="left" w:pos="142"/>
              </w:tabs>
              <w:spacing w:line="276" w:lineRule="auto"/>
              <w:ind w:left="0" w:firstLine="567"/>
              <w:jc w:val="both"/>
              <w:rPr>
                <w:rFonts w:ascii="Times New Roman" w:hAnsi="Times New Roman" w:cs="Times New Roman"/>
                <w:bCs/>
                <w:sz w:val="24"/>
                <w:szCs w:val="24"/>
              </w:rPr>
            </w:pPr>
            <w:r w:rsidRPr="00FB202F">
              <w:rPr>
                <w:rFonts w:ascii="Times New Roman" w:hAnsi="Times New Roman" w:cs="Times New Roman"/>
                <w:bCs/>
                <w:sz w:val="24"/>
                <w:szCs w:val="24"/>
              </w:rPr>
              <w:t xml:space="preserve">74 281 873,00 </w:t>
            </w:r>
            <w:r w:rsidR="006C038C" w:rsidRPr="00FB202F">
              <w:rPr>
                <w:rFonts w:ascii="Times New Roman" w:hAnsi="Times New Roman" w:cs="Times New Roman"/>
                <w:bCs/>
                <w:sz w:val="24"/>
                <w:szCs w:val="24"/>
              </w:rPr>
              <w:t xml:space="preserve">(седемдесет и четири милиона двеста осемдесет и една хиляди </w:t>
            </w:r>
            <w:r w:rsidR="00F77DC0" w:rsidRPr="00FB202F">
              <w:rPr>
                <w:rFonts w:ascii="Times New Roman" w:hAnsi="Times New Roman" w:cs="Times New Roman"/>
                <w:bCs/>
                <w:sz w:val="24"/>
                <w:szCs w:val="24"/>
              </w:rPr>
              <w:t>осемстотин седемдесет и три</w:t>
            </w:r>
            <w:r w:rsidR="006C038C" w:rsidRPr="00FB202F">
              <w:rPr>
                <w:rFonts w:ascii="Times New Roman" w:hAnsi="Times New Roman" w:cs="Times New Roman"/>
                <w:bCs/>
                <w:sz w:val="24"/>
                <w:szCs w:val="24"/>
              </w:rPr>
              <w:t>)</w:t>
            </w:r>
            <w:r w:rsidR="00F77DC0" w:rsidRPr="00FB202F">
              <w:rPr>
                <w:rFonts w:ascii="Times New Roman" w:hAnsi="Times New Roman" w:cs="Times New Roman"/>
                <w:bCs/>
                <w:sz w:val="24"/>
                <w:szCs w:val="24"/>
              </w:rPr>
              <w:t xml:space="preserve"> </w:t>
            </w:r>
            <w:r w:rsidR="00360835" w:rsidRPr="00FB202F">
              <w:rPr>
                <w:rFonts w:ascii="Times New Roman" w:hAnsi="Times New Roman" w:cs="Times New Roman"/>
                <w:bCs/>
                <w:sz w:val="24"/>
                <w:szCs w:val="24"/>
              </w:rPr>
              <w:t xml:space="preserve">лева </w:t>
            </w:r>
            <w:r w:rsidRPr="00FB202F">
              <w:rPr>
                <w:rFonts w:ascii="Times New Roman" w:hAnsi="Times New Roman" w:cs="Times New Roman"/>
                <w:bCs/>
                <w:sz w:val="24"/>
                <w:szCs w:val="24"/>
              </w:rPr>
              <w:t xml:space="preserve">от </w:t>
            </w:r>
            <w:r w:rsidR="006C038C" w:rsidRPr="00FB202F">
              <w:rPr>
                <w:rFonts w:ascii="Times New Roman" w:hAnsi="Times New Roman" w:cs="Times New Roman"/>
                <w:bCs/>
                <w:sz w:val="24"/>
                <w:szCs w:val="24"/>
              </w:rPr>
              <w:t>Програма „Развитие на човешките ресурси“ за периода 2021 – 2027 г.</w:t>
            </w:r>
            <w:r w:rsidR="00875CCD" w:rsidRPr="00FB202F">
              <w:rPr>
                <w:rFonts w:ascii="Times New Roman" w:hAnsi="Times New Roman" w:cs="Times New Roman"/>
                <w:bCs/>
                <w:sz w:val="24"/>
                <w:szCs w:val="24"/>
              </w:rPr>
              <w:t xml:space="preserve"> От тях средствата за Югозападен район (регион в преход) са в размер на 5 880 465 </w:t>
            </w:r>
            <w:r w:rsidR="0080192C" w:rsidRPr="00FB202F">
              <w:rPr>
                <w:rFonts w:ascii="Times New Roman" w:hAnsi="Times New Roman" w:cs="Times New Roman"/>
                <w:bCs/>
                <w:sz w:val="24"/>
                <w:szCs w:val="24"/>
              </w:rPr>
              <w:t>(пет милиона осемстотин и осемдесет хиляди четиристотин шестдесет и пет)</w:t>
            </w:r>
            <w:r w:rsidR="00875CCD" w:rsidRPr="00FB202F">
              <w:rPr>
                <w:rFonts w:ascii="Times New Roman" w:hAnsi="Times New Roman" w:cs="Times New Roman"/>
                <w:bCs/>
                <w:sz w:val="24"/>
                <w:szCs w:val="24"/>
              </w:rPr>
              <w:t xml:space="preserve"> </w:t>
            </w:r>
            <w:r w:rsidR="00360835" w:rsidRPr="00FB202F">
              <w:rPr>
                <w:rFonts w:ascii="Times New Roman" w:hAnsi="Times New Roman" w:cs="Times New Roman"/>
                <w:bCs/>
                <w:sz w:val="24"/>
                <w:szCs w:val="24"/>
              </w:rPr>
              <w:t>лева</w:t>
            </w:r>
            <w:r w:rsidR="00360835">
              <w:rPr>
                <w:rFonts w:ascii="Times New Roman" w:hAnsi="Times New Roman" w:cs="Times New Roman"/>
                <w:bCs/>
                <w:sz w:val="24"/>
                <w:szCs w:val="24"/>
              </w:rPr>
              <w:t>,</w:t>
            </w:r>
            <w:r w:rsidR="00360835" w:rsidRPr="00FB202F">
              <w:rPr>
                <w:rFonts w:ascii="Times New Roman" w:hAnsi="Times New Roman" w:cs="Times New Roman"/>
                <w:bCs/>
                <w:sz w:val="24"/>
                <w:szCs w:val="24"/>
              </w:rPr>
              <w:t xml:space="preserve"> </w:t>
            </w:r>
            <w:r w:rsidR="00875CCD" w:rsidRPr="00FB202F">
              <w:rPr>
                <w:rFonts w:ascii="Times New Roman" w:hAnsi="Times New Roman" w:cs="Times New Roman"/>
                <w:bCs/>
                <w:sz w:val="24"/>
                <w:szCs w:val="24"/>
              </w:rPr>
              <w:t>а за останалите пет района от ниво 2 – Северозападен, Северен централен, Североизточен, Югоизточен и Южен централен (по-слабо развити региони) – общо 68 401 408 (шестдесет и осем милиона четиристотин и една хиляди четиристотин и осем)</w:t>
            </w:r>
            <w:r w:rsidR="00360835">
              <w:rPr>
                <w:rFonts w:ascii="Times New Roman" w:hAnsi="Times New Roman" w:cs="Times New Roman"/>
                <w:bCs/>
                <w:sz w:val="24"/>
                <w:szCs w:val="24"/>
              </w:rPr>
              <w:t xml:space="preserve"> лева</w:t>
            </w:r>
            <w:r w:rsidR="00875CCD" w:rsidRPr="00FB202F">
              <w:rPr>
                <w:rFonts w:ascii="Times New Roman" w:hAnsi="Times New Roman" w:cs="Times New Roman"/>
                <w:bCs/>
                <w:sz w:val="24"/>
                <w:szCs w:val="24"/>
              </w:rPr>
              <w:t>.</w:t>
            </w:r>
          </w:p>
          <w:p w14:paraId="487AAF21" w14:textId="77777777" w:rsidR="00AB05D6" w:rsidRPr="00FB202F" w:rsidRDefault="00AB05D6" w:rsidP="007541D6">
            <w:pPr>
              <w:pStyle w:val="ListParagraph"/>
              <w:tabs>
                <w:tab w:val="left" w:pos="0"/>
                <w:tab w:val="left" w:pos="142"/>
              </w:tabs>
              <w:spacing w:line="276" w:lineRule="auto"/>
              <w:ind w:left="0" w:firstLine="567"/>
              <w:jc w:val="both"/>
              <w:rPr>
                <w:rFonts w:ascii="Times New Roman" w:hAnsi="Times New Roman" w:cs="Times New Roman"/>
                <w:bCs/>
                <w:sz w:val="24"/>
                <w:szCs w:val="24"/>
              </w:rPr>
            </w:pPr>
          </w:p>
          <w:p w14:paraId="58FD19D9" w14:textId="168F1889" w:rsidR="00F92BE5" w:rsidRPr="00FB202F" w:rsidRDefault="00F92BE5" w:rsidP="007541D6">
            <w:pPr>
              <w:pStyle w:val="ListParagraph"/>
              <w:numPr>
                <w:ilvl w:val="0"/>
                <w:numId w:val="7"/>
              </w:numPr>
              <w:tabs>
                <w:tab w:val="left" w:pos="0"/>
                <w:tab w:val="left" w:pos="142"/>
              </w:tabs>
              <w:spacing w:line="276" w:lineRule="auto"/>
              <w:ind w:left="0" w:firstLine="567"/>
              <w:jc w:val="both"/>
              <w:rPr>
                <w:rFonts w:ascii="Times New Roman" w:hAnsi="Times New Roman" w:cs="Times New Roman"/>
                <w:bCs/>
                <w:sz w:val="24"/>
                <w:szCs w:val="24"/>
              </w:rPr>
            </w:pPr>
            <w:r w:rsidRPr="00FB202F">
              <w:rPr>
                <w:rFonts w:ascii="Times New Roman" w:hAnsi="Times New Roman" w:cs="Times New Roman"/>
                <w:bCs/>
                <w:sz w:val="24"/>
                <w:szCs w:val="24"/>
              </w:rPr>
              <w:t xml:space="preserve">55 967 762,00 </w:t>
            </w:r>
            <w:r w:rsidR="00F77DC0" w:rsidRPr="00FB202F">
              <w:rPr>
                <w:rFonts w:ascii="Times New Roman" w:hAnsi="Times New Roman" w:cs="Times New Roman"/>
                <w:bCs/>
                <w:sz w:val="24"/>
                <w:szCs w:val="24"/>
              </w:rPr>
              <w:t xml:space="preserve">(петдесет и пет милиона деветстотин шестдесет и седем хиляди седемстотин шестдесет и два) </w:t>
            </w:r>
            <w:r w:rsidR="00360835">
              <w:rPr>
                <w:rFonts w:ascii="Times New Roman" w:hAnsi="Times New Roman" w:cs="Times New Roman"/>
                <w:bCs/>
                <w:sz w:val="24"/>
                <w:szCs w:val="24"/>
              </w:rPr>
              <w:t xml:space="preserve">лева </w:t>
            </w:r>
            <w:r w:rsidRPr="00FB202F">
              <w:rPr>
                <w:rFonts w:ascii="Times New Roman" w:hAnsi="Times New Roman" w:cs="Times New Roman"/>
                <w:bCs/>
                <w:sz w:val="24"/>
                <w:szCs w:val="24"/>
              </w:rPr>
              <w:t>от Програма „Конкурентоспособност и иновации в предприятията“ за периода 2021</w:t>
            </w:r>
            <w:r w:rsidR="00C027FF">
              <w:rPr>
                <w:rFonts w:ascii="Times New Roman" w:hAnsi="Times New Roman" w:cs="Times New Roman"/>
                <w:bCs/>
                <w:sz w:val="24"/>
                <w:szCs w:val="24"/>
              </w:rPr>
              <w:t>-</w:t>
            </w:r>
            <w:r w:rsidRPr="00FB202F">
              <w:rPr>
                <w:rFonts w:ascii="Times New Roman" w:hAnsi="Times New Roman" w:cs="Times New Roman"/>
                <w:bCs/>
                <w:sz w:val="24"/>
                <w:szCs w:val="24"/>
              </w:rPr>
              <w:t>2027 г.</w:t>
            </w:r>
            <w:r w:rsidR="00AB05D6" w:rsidRPr="00FB202F">
              <w:rPr>
                <w:rFonts w:ascii="Times New Roman" w:hAnsi="Times New Roman" w:cs="Times New Roman"/>
                <w:bCs/>
                <w:sz w:val="24"/>
                <w:szCs w:val="24"/>
              </w:rPr>
              <w:t>, от които 6 653 51</w:t>
            </w:r>
            <w:r w:rsidR="00E12ABC" w:rsidRPr="00FB202F">
              <w:rPr>
                <w:rFonts w:ascii="Times New Roman" w:hAnsi="Times New Roman" w:cs="Times New Roman"/>
                <w:bCs/>
                <w:sz w:val="24"/>
                <w:szCs w:val="24"/>
              </w:rPr>
              <w:t>0</w:t>
            </w:r>
            <w:r w:rsidR="00AB05D6" w:rsidRPr="00FB202F">
              <w:rPr>
                <w:rFonts w:ascii="Times New Roman" w:hAnsi="Times New Roman" w:cs="Times New Roman"/>
                <w:bCs/>
                <w:sz w:val="24"/>
                <w:szCs w:val="24"/>
              </w:rPr>
              <w:t xml:space="preserve">,00 (шест милиона шестстотин петдесет и три хиляди петстотин и десет) </w:t>
            </w:r>
            <w:r w:rsidR="00360835">
              <w:rPr>
                <w:rFonts w:ascii="Times New Roman" w:hAnsi="Times New Roman" w:cs="Times New Roman"/>
                <w:bCs/>
                <w:sz w:val="24"/>
                <w:szCs w:val="24"/>
              </w:rPr>
              <w:t xml:space="preserve">лева </w:t>
            </w:r>
            <w:r w:rsidR="00AB05D6" w:rsidRPr="00FB202F">
              <w:rPr>
                <w:rFonts w:ascii="Times New Roman" w:hAnsi="Times New Roman" w:cs="Times New Roman"/>
                <w:bCs/>
                <w:sz w:val="24"/>
                <w:szCs w:val="24"/>
              </w:rPr>
              <w:t>за Югозападен район  като „Регион в преход“ и 49 314 25</w:t>
            </w:r>
            <w:r w:rsidR="0080192C" w:rsidRPr="00FB202F">
              <w:rPr>
                <w:rFonts w:ascii="Times New Roman" w:hAnsi="Times New Roman" w:cs="Times New Roman"/>
                <w:bCs/>
                <w:sz w:val="24"/>
                <w:szCs w:val="24"/>
              </w:rPr>
              <w:t>2</w:t>
            </w:r>
            <w:r w:rsidR="00AB05D6" w:rsidRPr="00FB202F">
              <w:rPr>
                <w:rFonts w:ascii="Times New Roman" w:hAnsi="Times New Roman" w:cs="Times New Roman"/>
                <w:bCs/>
                <w:sz w:val="24"/>
                <w:szCs w:val="24"/>
              </w:rPr>
              <w:t xml:space="preserve">,00 </w:t>
            </w:r>
            <w:r w:rsidR="0020169B" w:rsidRPr="00FB202F">
              <w:rPr>
                <w:rFonts w:ascii="Times New Roman" w:hAnsi="Times New Roman" w:cs="Times New Roman"/>
                <w:bCs/>
                <w:sz w:val="24"/>
                <w:szCs w:val="24"/>
              </w:rPr>
              <w:t>(</w:t>
            </w:r>
            <w:r w:rsidR="004B122D" w:rsidRPr="00FB202F">
              <w:rPr>
                <w:rFonts w:ascii="Times New Roman" w:hAnsi="Times New Roman" w:cs="Times New Roman"/>
                <w:bCs/>
                <w:sz w:val="24"/>
                <w:szCs w:val="24"/>
              </w:rPr>
              <w:t>четиридесет и девет милиона триста и четиринадесет хиляди двеста петдесет</w:t>
            </w:r>
            <w:r w:rsidR="0080192C" w:rsidRPr="00FB202F">
              <w:rPr>
                <w:rFonts w:ascii="Times New Roman" w:hAnsi="Times New Roman" w:cs="Times New Roman"/>
                <w:bCs/>
                <w:sz w:val="24"/>
                <w:szCs w:val="24"/>
              </w:rPr>
              <w:t xml:space="preserve"> и два</w:t>
            </w:r>
            <w:r w:rsidR="0020169B" w:rsidRPr="00FB202F">
              <w:rPr>
                <w:rFonts w:ascii="Times New Roman" w:hAnsi="Times New Roman" w:cs="Times New Roman"/>
                <w:bCs/>
                <w:sz w:val="24"/>
                <w:szCs w:val="24"/>
              </w:rPr>
              <w:t xml:space="preserve">) </w:t>
            </w:r>
            <w:r w:rsidR="00360835">
              <w:rPr>
                <w:rFonts w:ascii="Times New Roman" w:hAnsi="Times New Roman" w:cs="Times New Roman"/>
                <w:bCs/>
                <w:sz w:val="24"/>
                <w:szCs w:val="24"/>
              </w:rPr>
              <w:t xml:space="preserve">лева </w:t>
            </w:r>
            <w:r w:rsidR="00AB05D6" w:rsidRPr="00FB202F">
              <w:rPr>
                <w:rFonts w:ascii="Times New Roman" w:hAnsi="Times New Roman" w:cs="Times New Roman"/>
                <w:bCs/>
                <w:sz w:val="24"/>
                <w:szCs w:val="24"/>
              </w:rPr>
              <w:t xml:space="preserve">за </w:t>
            </w:r>
            <w:r w:rsidR="000013D3" w:rsidRPr="00FB202F">
              <w:rPr>
                <w:rFonts w:ascii="Times New Roman" w:hAnsi="Times New Roman" w:cs="Times New Roman"/>
                <w:bCs/>
                <w:sz w:val="24"/>
                <w:szCs w:val="24"/>
              </w:rPr>
              <w:t xml:space="preserve">останалите райони на планиране в Република България (Северозападен, Северен централен, Североизточен, Югоизточен и Южен централен) </w:t>
            </w:r>
            <w:r w:rsidR="00AB05D6" w:rsidRPr="00FB202F">
              <w:rPr>
                <w:rFonts w:ascii="Times New Roman" w:hAnsi="Times New Roman" w:cs="Times New Roman"/>
                <w:bCs/>
                <w:sz w:val="24"/>
                <w:szCs w:val="24"/>
              </w:rPr>
              <w:t>като „</w:t>
            </w:r>
            <w:r w:rsidR="00452313" w:rsidRPr="00FB202F">
              <w:rPr>
                <w:rFonts w:ascii="Times New Roman" w:hAnsi="Times New Roman" w:cs="Times New Roman"/>
                <w:bCs/>
                <w:sz w:val="24"/>
                <w:szCs w:val="24"/>
              </w:rPr>
              <w:t>п</w:t>
            </w:r>
            <w:r w:rsidR="00AB05D6" w:rsidRPr="00FB202F">
              <w:rPr>
                <w:rFonts w:ascii="Times New Roman" w:hAnsi="Times New Roman" w:cs="Times New Roman"/>
                <w:bCs/>
                <w:sz w:val="24"/>
                <w:szCs w:val="24"/>
              </w:rPr>
              <w:t>о-слабо развити региони“</w:t>
            </w:r>
            <w:r w:rsidRPr="00FB202F">
              <w:rPr>
                <w:rFonts w:ascii="Times New Roman" w:hAnsi="Times New Roman" w:cs="Times New Roman"/>
                <w:bCs/>
                <w:sz w:val="24"/>
                <w:szCs w:val="24"/>
              </w:rPr>
              <w:t>;</w:t>
            </w:r>
          </w:p>
          <w:p w14:paraId="2C47718C" w14:textId="77777777" w:rsidR="00AB05D6" w:rsidRPr="00FB202F" w:rsidRDefault="00AB05D6" w:rsidP="007541D6">
            <w:pPr>
              <w:pStyle w:val="ListParagraph"/>
              <w:spacing w:line="276" w:lineRule="auto"/>
              <w:ind w:left="0" w:firstLine="567"/>
              <w:rPr>
                <w:rFonts w:ascii="Times New Roman" w:hAnsi="Times New Roman" w:cs="Times New Roman"/>
                <w:bCs/>
                <w:sz w:val="24"/>
                <w:szCs w:val="24"/>
              </w:rPr>
            </w:pPr>
          </w:p>
          <w:p w14:paraId="750F1C2C" w14:textId="3F8EC792" w:rsidR="00F77DC0" w:rsidRPr="00FB202F" w:rsidRDefault="00F77DC0" w:rsidP="007541D6">
            <w:pPr>
              <w:pStyle w:val="ListParagraph"/>
              <w:numPr>
                <w:ilvl w:val="0"/>
                <w:numId w:val="7"/>
              </w:numPr>
              <w:tabs>
                <w:tab w:val="left" w:pos="0"/>
                <w:tab w:val="left" w:pos="142"/>
              </w:tabs>
              <w:spacing w:line="276" w:lineRule="auto"/>
              <w:ind w:left="0" w:firstLine="567"/>
              <w:jc w:val="both"/>
              <w:rPr>
                <w:rFonts w:ascii="Times New Roman" w:hAnsi="Times New Roman" w:cs="Times New Roman"/>
                <w:bCs/>
                <w:sz w:val="24"/>
                <w:szCs w:val="24"/>
              </w:rPr>
            </w:pPr>
            <w:r w:rsidRPr="00FB202F">
              <w:rPr>
                <w:rFonts w:ascii="Times New Roman" w:hAnsi="Times New Roman" w:cs="Times New Roman"/>
                <w:bCs/>
                <w:sz w:val="24"/>
                <w:szCs w:val="24"/>
              </w:rPr>
              <w:t xml:space="preserve">35 187 498,00 </w:t>
            </w:r>
            <w:r w:rsidR="0080192C" w:rsidRPr="00FB202F">
              <w:rPr>
                <w:rFonts w:ascii="Times New Roman" w:hAnsi="Times New Roman" w:cs="Times New Roman"/>
                <w:bCs/>
                <w:sz w:val="24"/>
                <w:szCs w:val="24"/>
              </w:rPr>
              <w:t xml:space="preserve"> </w:t>
            </w:r>
            <w:r w:rsidR="00842951" w:rsidRPr="00FB202F">
              <w:rPr>
                <w:rFonts w:ascii="Times New Roman" w:hAnsi="Times New Roman" w:cs="Times New Roman"/>
                <w:bCs/>
                <w:sz w:val="24"/>
                <w:szCs w:val="24"/>
              </w:rPr>
              <w:t>(тридесет и пет милиона сто осемдесет и седем хиляди четиристотин деветдесет и осем)</w:t>
            </w:r>
            <w:r w:rsidRPr="00FB202F">
              <w:rPr>
                <w:rFonts w:ascii="Times New Roman" w:hAnsi="Times New Roman" w:cs="Times New Roman"/>
                <w:bCs/>
                <w:sz w:val="24"/>
                <w:szCs w:val="24"/>
              </w:rPr>
              <w:t xml:space="preserve"> </w:t>
            </w:r>
            <w:r w:rsidR="00E51CE6">
              <w:rPr>
                <w:rFonts w:ascii="Times New Roman" w:hAnsi="Times New Roman" w:cs="Times New Roman"/>
                <w:bCs/>
                <w:sz w:val="24"/>
                <w:szCs w:val="24"/>
              </w:rPr>
              <w:t xml:space="preserve">лева </w:t>
            </w:r>
            <w:r w:rsidR="005C0AED" w:rsidRPr="00FB202F">
              <w:rPr>
                <w:rFonts w:ascii="Times New Roman" w:hAnsi="Times New Roman" w:cs="Times New Roman"/>
                <w:bCs/>
                <w:sz w:val="24"/>
                <w:szCs w:val="24"/>
              </w:rPr>
              <w:t xml:space="preserve">от </w:t>
            </w:r>
            <w:r w:rsidRPr="00FB202F">
              <w:rPr>
                <w:rFonts w:ascii="Times New Roman" w:hAnsi="Times New Roman" w:cs="Times New Roman"/>
                <w:bCs/>
                <w:sz w:val="24"/>
                <w:szCs w:val="24"/>
              </w:rPr>
              <w:t>Програма „Образование“ за периода 2021</w:t>
            </w:r>
            <w:r w:rsidR="00C027FF">
              <w:rPr>
                <w:rFonts w:ascii="Times New Roman" w:hAnsi="Times New Roman" w:cs="Times New Roman"/>
                <w:bCs/>
                <w:sz w:val="24"/>
                <w:szCs w:val="24"/>
              </w:rPr>
              <w:t>-</w:t>
            </w:r>
            <w:r w:rsidRPr="00FB202F">
              <w:rPr>
                <w:rFonts w:ascii="Times New Roman" w:hAnsi="Times New Roman" w:cs="Times New Roman"/>
                <w:bCs/>
                <w:sz w:val="24"/>
                <w:szCs w:val="24"/>
              </w:rPr>
              <w:t>2027 г.</w:t>
            </w:r>
            <w:r w:rsidR="000013D3" w:rsidRPr="00FB202F">
              <w:rPr>
                <w:rFonts w:ascii="Times New Roman" w:hAnsi="Times New Roman" w:cs="Times New Roman"/>
                <w:bCs/>
                <w:sz w:val="24"/>
                <w:szCs w:val="24"/>
              </w:rPr>
              <w:t>, от които от които 4 183 129, 00 (четири милиона сто осемдесет и три хиляди сто двадесет и девет</w:t>
            </w:r>
            <w:r w:rsidR="0080192C" w:rsidRPr="00FB202F">
              <w:rPr>
                <w:rFonts w:ascii="Times New Roman" w:hAnsi="Times New Roman" w:cs="Times New Roman"/>
                <w:bCs/>
                <w:sz w:val="24"/>
                <w:szCs w:val="24"/>
              </w:rPr>
              <w:t xml:space="preserve"> </w:t>
            </w:r>
            <w:r w:rsidR="000013D3" w:rsidRPr="00FB202F">
              <w:rPr>
                <w:rFonts w:ascii="Times New Roman" w:hAnsi="Times New Roman" w:cs="Times New Roman"/>
                <w:bCs/>
                <w:sz w:val="24"/>
                <w:szCs w:val="24"/>
              </w:rPr>
              <w:t xml:space="preserve">) </w:t>
            </w:r>
            <w:r w:rsidR="00E51CE6">
              <w:rPr>
                <w:rFonts w:ascii="Times New Roman" w:hAnsi="Times New Roman" w:cs="Times New Roman"/>
                <w:bCs/>
                <w:sz w:val="24"/>
                <w:szCs w:val="24"/>
              </w:rPr>
              <w:t xml:space="preserve">лева </w:t>
            </w:r>
            <w:r w:rsidR="000013D3" w:rsidRPr="00FB202F">
              <w:rPr>
                <w:rFonts w:ascii="Times New Roman" w:hAnsi="Times New Roman" w:cs="Times New Roman"/>
                <w:bCs/>
                <w:sz w:val="24"/>
                <w:szCs w:val="24"/>
              </w:rPr>
              <w:t xml:space="preserve">за Югозападен район като „Регион в преход“, а </w:t>
            </w:r>
            <w:r w:rsidR="0080192C" w:rsidRPr="00FB202F">
              <w:rPr>
                <w:rFonts w:ascii="Times New Roman" w:hAnsi="Times New Roman" w:cs="Times New Roman"/>
                <w:bCs/>
                <w:sz w:val="24"/>
                <w:szCs w:val="24"/>
              </w:rPr>
              <w:t xml:space="preserve">за „По-слабо развити региони“ в Република България, а именно Северозападен, Северен централен, Североизточен, Югоизточен и Южен централен, предвидените средства са </w:t>
            </w:r>
            <w:r w:rsidR="000013D3" w:rsidRPr="00FB202F">
              <w:rPr>
                <w:rFonts w:ascii="Times New Roman" w:hAnsi="Times New Roman" w:cs="Times New Roman"/>
                <w:bCs/>
                <w:sz w:val="24"/>
                <w:szCs w:val="24"/>
              </w:rPr>
              <w:t xml:space="preserve">31 004 369 </w:t>
            </w:r>
            <w:r w:rsidR="0080192C" w:rsidRPr="00FB202F">
              <w:rPr>
                <w:rFonts w:ascii="Times New Roman" w:hAnsi="Times New Roman" w:cs="Times New Roman"/>
                <w:bCs/>
                <w:sz w:val="24"/>
                <w:szCs w:val="24"/>
              </w:rPr>
              <w:t xml:space="preserve"> </w:t>
            </w:r>
            <w:r w:rsidR="000013D3" w:rsidRPr="00FB202F">
              <w:rPr>
                <w:rFonts w:ascii="Times New Roman" w:hAnsi="Times New Roman" w:cs="Times New Roman"/>
                <w:bCs/>
                <w:sz w:val="24"/>
                <w:szCs w:val="24"/>
              </w:rPr>
              <w:t>(тридесет и един милиона четири хиляди триста шестдесет и девет</w:t>
            </w:r>
            <w:r w:rsidR="0080192C" w:rsidRPr="00FB202F">
              <w:rPr>
                <w:rFonts w:ascii="Times New Roman" w:hAnsi="Times New Roman" w:cs="Times New Roman"/>
                <w:bCs/>
                <w:sz w:val="24"/>
                <w:szCs w:val="24"/>
              </w:rPr>
              <w:t xml:space="preserve"> лева</w:t>
            </w:r>
            <w:r w:rsidR="000013D3" w:rsidRPr="00FB202F">
              <w:rPr>
                <w:rFonts w:ascii="Times New Roman" w:hAnsi="Times New Roman" w:cs="Times New Roman"/>
                <w:bCs/>
                <w:sz w:val="24"/>
                <w:szCs w:val="24"/>
              </w:rPr>
              <w:t>) лева</w:t>
            </w:r>
            <w:r w:rsidR="0080192C" w:rsidRPr="00FB202F">
              <w:rPr>
                <w:rFonts w:ascii="Times New Roman" w:hAnsi="Times New Roman" w:cs="Times New Roman"/>
                <w:bCs/>
                <w:sz w:val="24"/>
                <w:szCs w:val="24"/>
              </w:rPr>
              <w:t>.</w:t>
            </w:r>
          </w:p>
          <w:p w14:paraId="5C5D942F" w14:textId="77777777" w:rsidR="00AB05D6" w:rsidRPr="00FB202F" w:rsidRDefault="00AB05D6" w:rsidP="007541D6">
            <w:pPr>
              <w:pStyle w:val="ListParagraph"/>
              <w:spacing w:line="276" w:lineRule="auto"/>
              <w:ind w:left="0" w:firstLine="567"/>
              <w:rPr>
                <w:rFonts w:ascii="Times New Roman" w:hAnsi="Times New Roman" w:cs="Times New Roman"/>
                <w:bCs/>
                <w:sz w:val="24"/>
                <w:szCs w:val="24"/>
              </w:rPr>
            </w:pPr>
          </w:p>
          <w:p w14:paraId="23D5A0A4" w14:textId="6442BEE1" w:rsidR="008C7C9C" w:rsidRPr="00FB202F" w:rsidRDefault="00AE2C77" w:rsidP="007541D6">
            <w:pPr>
              <w:pStyle w:val="ListParagraph"/>
              <w:numPr>
                <w:ilvl w:val="0"/>
                <w:numId w:val="7"/>
              </w:numPr>
              <w:tabs>
                <w:tab w:val="left" w:pos="0"/>
                <w:tab w:val="left" w:pos="142"/>
              </w:tabs>
              <w:spacing w:line="276" w:lineRule="auto"/>
              <w:ind w:left="0" w:firstLine="567"/>
              <w:jc w:val="both"/>
              <w:rPr>
                <w:rFonts w:ascii="Times New Roman" w:hAnsi="Times New Roman" w:cs="Times New Roman"/>
                <w:bCs/>
                <w:sz w:val="24"/>
                <w:szCs w:val="24"/>
              </w:rPr>
            </w:pPr>
            <w:r w:rsidRPr="00FB202F">
              <w:rPr>
                <w:rFonts w:ascii="Times New Roman" w:hAnsi="Times New Roman" w:cs="Times New Roman"/>
                <w:bCs/>
                <w:sz w:val="24"/>
                <w:szCs w:val="24"/>
              </w:rPr>
              <w:t xml:space="preserve">16 485 225,30 </w:t>
            </w:r>
            <w:r w:rsidR="00842951" w:rsidRPr="00FB202F">
              <w:rPr>
                <w:rFonts w:ascii="Times New Roman" w:hAnsi="Times New Roman" w:cs="Times New Roman"/>
                <w:bCs/>
                <w:sz w:val="24"/>
                <w:szCs w:val="24"/>
              </w:rPr>
              <w:t xml:space="preserve">(шестнадесет милиона четиристотин осемдесет и пет хиляди двеста двадесет и пет лева и тридесет стотинки) </w:t>
            </w:r>
            <w:r w:rsidR="00E51CE6">
              <w:rPr>
                <w:rFonts w:ascii="Times New Roman" w:hAnsi="Times New Roman" w:cs="Times New Roman"/>
                <w:bCs/>
                <w:sz w:val="24"/>
                <w:szCs w:val="24"/>
              </w:rPr>
              <w:t xml:space="preserve">лева </w:t>
            </w:r>
            <w:r w:rsidRPr="00FB202F">
              <w:rPr>
                <w:rFonts w:ascii="Times New Roman" w:hAnsi="Times New Roman" w:cs="Times New Roman"/>
                <w:bCs/>
                <w:sz w:val="24"/>
                <w:szCs w:val="24"/>
              </w:rPr>
              <w:t>от Програма „Околна среда“ за периода 2021</w:t>
            </w:r>
            <w:r w:rsidR="00C027FF">
              <w:rPr>
                <w:rFonts w:ascii="Times New Roman" w:hAnsi="Times New Roman" w:cs="Times New Roman"/>
                <w:bCs/>
                <w:sz w:val="24"/>
                <w:szCs w:val="24"/>
              </w:rPr>
              <w:t>-</w:t>
            </w:r>
            <w:r w:rsidRPr="00FB202F">
              <w:rPr>
                <w:rFonts w:ascii="Times New Roman" w:hAnsi="Times New Roman" w:cs="Times New Roman"/>
                <w:bCs/>
                <w:sz w:val="24"/>
                <w:szCs w:val="24"/>
              </w:rPr>
              <w:t>2027 г.</w:t>
            </w:r>
            <w:r w:rsidR="005C0AED" w:rsidRPr="00FB202F">
              <w:rPr>
                <w:rFonts w:ascii="Times New Roman" w:hAnsi="Times New Roman" w:cs="Times New Roman"/>
                <w:bCs/>
                <w:sz w:val="24"/>
                <w:szCs w:val="24"/>
              </w:rPr>
              <w:t xml:space="preserve">, </w:t>
            </w:r>
            <w:r w:rsidR="008C7C9C" w:rsidRPr="00FB202F">
              <w:rPr>
                <w:rFonts w:ascii="Times New Roman" w:hAnsi="Times New Roman" w:cs="Times New Roman"/>
                <w:bCs/>
                <w:sz w:val="24"/>
                <w:szCs w:val="24"/>
              </w:rPr>
              <w:t>разпределени както следва:</w:t>
            </w:r>
          </w:p>
          <w:p w14:paraId="3ACD4C72" w14:textId="4BA4647B" w:rsidR="008C7C9C" w:rsidRPr="00FB202F" w:rsidRDefault="008C7C9C" w:rsidP="007541D6">
            <w:pPr>
              <w:pStyle w:val="ListParagraph"/>
              <w:numPr>
                <w:ilvl w:val="0"/>
                <w:numId w:val="17"/>
              </w:numPr>
              <w:spacing w:line="276" w:lineRule="auto"/>
              <w:ind w:left="0" w:firstLine="567"/>
              <w:jc w:val="both"/>
              <w:rPr>
                <w:rFonts w:ascii="Times New Roman" w:hAnsi="Times New Roman" w:cs="Times New Roman"/>
                <w:bCs/>
                <w:sz w:val="24"/>
                <w:szCs w:val="24"/>
              </w:rPr>
            </w:pPr>
            <w:r w:rsidRPr="00FB202F">
              <w:rPr>
                <w:rFonts w:ascii="Times New Roman" w:hAnsi="Times New Roman" w:cs="Times New Roman"/>
                <w:bCs/>
                <w:sz w:val="24"/>
                <w:szCs w:val="24"/>
              </w:rPr>
              <w:t>за мерки по приоритет „Отпадъци“ на ПОС – 7 095 225,30 (седем милиона деветдесет и пет хиляди двеста двадесет и пет лева и тридесет стотинки)</w:t>
            </w:r>
            <w:r w:rsidR="00517466">
              <w:rPr>
                <w:rFonts w:ascii="Times New Roman" w:hAnsi="Times New Roman" w:cs="Times New Roman"/>
                <w:bCs/>
                <w:sz w:val="24"/>
                <w:szCs w:val="24"/>
              </w:rPr>
              <w:t xml:space="preserve"> лева</w:t>
            </w:r>
            <w:r w:rsidRPr="00FB202F">
              <w:rPr>
                <w:rFonts w:ascii="Times New Roman" w:hAnsi="Times New Roman" w:cs="Times New Roman"/>
                <w:bCs/>
                <w:sz w:val="24"/>
                <w:szCs w:val="24"/>
              </w:rPr>
              <w:t>, от които за общини от Югозападния регион за планиране (области Благоевград, Кюстендил, Перник, Софийска и София-град) – 1 089 676,71 (един милион осемдесет и девет хиляди шестстотин седемдесет и шест лева и седемдесет и една стотинки)</w:t>
            </w:r>
            <w:r w:rsidR="00517466">
              <w:rPr>
                <w:rFonts w:ascii="Times New Roman" w:hAnsi="Times New Roman" w:cs="Times New Roman"/>
                <w:bCs/>
                <w:sz w:val="24"/>
                <w:szCs w:val="24"/>
              </w:rPr>
              <w:t xml:space="preserve"> лева</w:t>
            </w:r>
            <w:r w:rsidRPr="00FB202F">
              <w:rPr>
                <w:rFonts w:ascii="Times New Roman" w:hAnsi="Times New Roman" w:cs="Times New Roman"/>
                <w:bCs/>
                <w:sz w:val="24"/>
                <w:szCs w:val="24"/>
              </w:rPr>
              <w:t xml:space="preserve">, а за общините от останалите региони за планиране (Северозападен, Северен централен, Североизточен, Югоизточен и Южен </w:t>
            </w:r>
            <w:r w:rsidRPr="00FB202F">
              <w:rPr>
                <w:rFonts w:ascii="Times New Roman" w:hAnsi="Times New Roman" w:cs="Times New Roman"/>
                <w:bCs/>
                <w:sz w:val="24"/>
                <w:szCs w:val="24"/>
              </w:rPr>
              <w:lastRenderedPageBreak/>
              <w:t>централен) – 6 005 548,59 (шест милиона пет хиляди петстотин четиридесет и осем лева и петдесет и девет стотинки)</w:t>
            </w:r>
            <w:r w:rsidR="00517466">
              <w:rPr>
                <w:rFonts w:ascii="Times New Roman" w:hAnsi="Times New Roman" w:cs="Times New Roman"/>
                <w:bCs/>
                <w:sz w:val="24"/>
                <w:szCs w:val="24"/>
              </w:rPr>
              <w:t xml:space="preserve"> лева</w:t>
            </w:r>
            <w:r w:rsidRPr="00FB202F">
              <w:rPr>
                <w:rFonts w:ascii="Times New Roman" w:hAnsi="Times New Roman" w:cs="Times New Roman"/>
                <w:bCs/>
                <w:sz w:val="24"/>
                <w:szCs w:val="24"/>
              </w:rPr>
              <w:t>;</w:t>
            </w:r>
          </w:p>
          <w:p w14:paraId="1E4F5A79" w14:textId="1410BDD2" w:rsidR="008C7C9C" w:rsidRPr="00FB202F" w:rsidRDefault="008C7C9C" w:rsidP="007541D6">
            <w:pPr>
              <w:pStyle w:val="ListParagraph"/>
              <w:numPr>
                <w:ilvl w:val="0"/>
                <w:numId w:val="17"/>
              </w:numPr>
              <w:spacing w:line="276" w:lineRule="auto"/>
              <w:ind w:left="0" w:firstLine="567"/>
              <w:jc w:val="both"/>
              <w:rPr>
                <w:rFonts w:ascii="Times New Roman" w:hAnsi="Times New Roman" w:cs="Times New Roman"/>
                <w:bCs/>
                <w:sz w:val="24"/>
                <w:szCs w:val="24"/>
              </w:rPr>
            </w:pPr>
            <w:r w:rsidRPr="00FB202F">
              <w:rPr>
                <w:rFonts w:ascii="Times New Roman" w:hAnsi="Times New Roman" w:cs="Times New Roman"/>
                <w:bCs/>
                <w:sz w:val="24"/>
                <w:szCs w:val="24"/>
              </w:rPr>
              <w:t>за мерки по приоритет „Биологично разнообразие“ на ПОС – 9 390 000,00 (девет милиона триста и деветдесет хиляди)</w:t>
            </w:r>
            <w:r w:rsidR="00517466">
              <w:rPr>
                <w:rFonts w:ascii="Times New Roman" w:hAnsi="Times New Roman" w:cs="Times New Roman"/>
                <w:bCs/>
                <w:sz w:val="24"/>
                <w:szCs w:val="24"/>
              </w:rPr>
              <w:t xml:space="preserve"> лева</w:t>
            </w:r>
            <w:r w:rsidRPr="00FB202F">
              <w:rPr>
                <w:rFonts w:ascii="Times New Roman" w:hAnsi="Times New Roman" w:cs="Times New Roman"/>
                <w:bCs/>
                <w:sz w:val="24"/>
                <w:szCs w:val="24"/>
              </w:rPr>
              <w:t>, от които за общини от Югозападния регион за планиране (области Благоевград, Кюстендил, Перник, Софийска и София-град) – 1 220 700,00 (един милион двеста и двадесет хиляди и седемстотин)</w:t>
            </w:r>
            <w:r w:rsidR="00517466">
              <w:rPr>
                <w:rFonts w:ascii="Times New Roman" w:hAnsi="Times New Roman" w:cs="Times New Roman"/>
                <w:bCs/>
                <w:sz w:val="24"/>
                <w:szCs w:val="24"/>
              </w:rPr>
              <w:t xml:space="preserve"> лева</w:t>
            </w:r>
            <w:r w:rsidRPr="00FB202F">
              <w:rPr>
                <w:rFonts w:ascii="Times New Roman" w:hAnsi="Times New Roman" w:cs="Times New Roman"/>
                <w:bCs/>
                <w:sz w:val="24"/>
                <w:szCs w:val="24"/>
              </w:rPr>
              <w:t xml:space="preserve">, а за общините от останалите региони за планиране (Северозападен, Северен централен, Североизточен, Югоизточен и Южен централен) – 8 </w:t>
            </w:r>
            <w:r w:rsidR="00096644" w:rsidRPr="00FB202F">
              <w:rPr>
                <w:rFonts w:ascii="Times New Roman" w:hAnsi="Times New Roman" w:cs="Times New Roman"/>
                <w:bCs/>
                <w:sz w:val="24"/>
                <w:szCs w:val="24"/>
              </w:rPr>
              <w:t>169 300,00 (осем милиона сто шестдесет и девет хиляди и триста)</w:t>
            </w:r>
            <w:r w:rsidR="00517466">
              <w:rPr>
                <w:rFonts w:ascii="Times New Roman" w:hAnsi="Times New Roman" w:cs="Times New Roman"/>
                <w:bCs/>
                <w:sz w:val="24"/>
                <w:szCs w:val="24"/>
              </w:rPr>
              <w:t xml:space="preserve"> лева</w:t>
            </w:r>
            <w:r w:rsidR="00096644" w:rsidRPr="00FB202F">
              <w:rPr>
                <w:rFonts w:ascii="Times New Roman" w:hAnsi="Times New Roman" w:cs="Times New Roman"/>
                <w:bCs/>
                <w:sz w:val="24"/>
                <w:szCs w:val="24"/>
              </w:rPr>
              <w:t xml:space="preserve">. </w:t>
            </w:r>
          </w:p>
          <w:p w14:paraId="6767DB73" w14:textId="4A6496DF" w:rsidR="00AE2C77" w:rsidRPr="00FB202F" w:rsidRDefault="00AE2C77" w:rsidP="007541D6">
            <w:pPr>
              <w:spacing w:line="276" w:lineRule="auto"/>
              <w:ind w:firstLine="567"/>
              <w:rPr>
                <w:rFonts w:ascii="Times New Roman" w:hAnsi="Times New Roman" w:cs="Times New Roman"/>
                <w:sz w:val="24"/>
                <w:szCs w:val="24"/>
                <w:highlight w:val="yellow"/>
              </w:rPr>
            </w:pPr>
          </w:p>
        </w:tc>
      </w:tr>
    </w:tbl>
    <w:p w14:paraId="2EA3907C" w14:textId="77777777" w:rsidR="003935EC" w:rsidRPr="00FB202F" w:rsidRDefault="003935EC" w:rsidP="00044F85">
      <w:pPr>
        <w:tabs>
          <w:tab w:val="left" w:pos="0"/>
          <w:tab w:val="left" w:pos="142"/>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1A4C00AC" w14:textId="77777777" w:rsidTr="000D7565">
        <w:tc>
          <w:tcPr>
            <w:tcW w:w="9781" w:type="dxa"/>
          </w:tcPr>
          <w:p w14:paraId="53EAB8BE" w14:textId="1F02B135" w:rsidR="003935EC" w:rsidRPr="00FB202F" w:rsidRDefault="003935EC" w:rsidP="007541D6">
            <w:pPr>
              <w:numPr>
                <w:ilvl w:val="0"/>
                <w:numId w:val="1"/>
              </w:numPr>
              <w:tabs>
                <w:tab w:val="left" w:pos="0"/>
                <w:tab w:val="left" w:pos="142"/>
                <w:tab w:val="left" w:pos="1168"/>
              </w:tabs>
              <w:spacing w:line="276" w:lineRule="auto"/>
              <w:ind w:left="0" w:firstLine="567"/>
              <w:contextualSpacing/>
              <w:jc w:val="both"/>
              <w:rPr>
                <w:rFonts w:ascii="Times New Roman" w:hAnsi="Times New Roman" w:cs="Times New Roman"/>
                <w:b/>
                <w:sz w:val="24"/>
                <w:szCs w:val="24"/>
              </w:rPr>
            </w:pPr>
            <w:r w:rsidRPr="00FB202F">
              <w:rPr>
                <w:rFonts w:ascii="Times New Roman" w:hAnsi="Times New Roman" w:cs="Times New Roman"/>
                <w:b/>
                <w:sz w:val="24"/>
                <w:szCs w:val="24"/>
              </w:rPr>
              <w:t xml:space="preserve">Минимален и максимален размер на безвъзмездната финансова помощ за </w:t>
            </w:r>
            <w:r w:rsidR="000013D3" w:rsidRPr="00FB202F">
              <w:rPr>
                <w:rFonts w:ascii="Times New Roman" w:hAnsi="Times New Roman" w:cs="Times New Roman"/>
                <w:b/>
                <w:sz w:val="24"/>
                <w:szCs w:val="24"/>
              </w:rPr>
              <w:t>стратегия за ВОМР</w:t>
            </w:r>
            <w:r w:rsidRPr="00FB202F">
              <w:rPr>
                <w:rFonts w:ascii="Times New Roman" w:hAnsi="Times New Roman" w:cs="Times New Roman"/>
                <w:b/>
                <w:sz w:val="24"/>
                <w:szCs w:val="24"/>
              </w:rPr>
              <w:t>:</w:t>
            </w:r>
          </w:p>
          <w:p w14:paraId="1401F5C9" w14:textId="77777777" w:rsidR="005C6403" w:rsidRPr="00FB202F" w:rsidRDefault="005C6403" w:rsidP="007541D6">
            <w:pPr>
              <w:tabs>
                <w:tab w:val="left" w:pos="0"/>
                <w:tab w:val="left" w:pos="142"/>
                <w:tab w:val="left" w:pos="1168"/>
              </w:tabs>
              <w:spacing w:line="276" w:lineRule="auto"/>
              <w:ind w:firstLine="567"/>
              <w:jc w:val="both"/>
              <w:rPr>
                <w:rFonts w:ascii="Times New Roman" w:hAnsi="Times New Roman" w:cs="Times New Roman"/>
                <w:sz w:val="24"/>
                <w:szCs w:val="24"/>
              </w:rPr>
            </w:pPr>
          </w:p>
          <w:p w14:paraId="3DBC1BD5" w14:textId="71335BCB" w:rsidR="005C6403" w:rsidRPr="00FB202F" w:rsidRDefault="005C6403" w:rsidP="00214525">
            <w:pPr>
              <w:numPr>
                <w:ilvl w:val="1"/>
                <w:numId w:val="1"/>
              </w:numPr>
              <w:tabs>
                <w:tab w:val="left" w:pos="0"/>
                <w:tab w:val="left" w:pos="142"/>
                <w:tab w:val="left" w:pos="1027"/>
              </w:tabs>
              <w:spacing w:line="276" w:lineRule="auto"/>
              <w:ind w:left="0" w:firstLine="567"/>
              <w:contextualSpacing/>
              <w:jc w:val="both"/>
              <w:rPr>
                <w:rFonts w:ascii="Times New Roman" w:hAnsi="Times New Roman" w:cs="Times New Roman"/>
                <w:sz w:val="24"/>
                <w:szCs w:val="24"/>
              </w:rPr>
            </w:pPr>
            <w:r w:rsidRPr="00FB202F">
              <w:rPr>
                <w:rFonts w:ascii="Times New Roman" w:hAnsi="Times New Roman" w:cs="Times New Roman"/>
                <w:sz w:val="24"/>
                <w:szCs w:val="24"/>
              </w:rPr>
              <w:t xml:space="preserve">Максималният размер на общия публичен принос </w:t>
            </w:r>
            <w:r w:rsidR="002938C6" w:rsidRPr="00FB202F">
              <w:rPr>
                <w:rFonts w:ascii="Times New Roman" w:hAnsi="Times New Roman" w:cs="Times New Roman"/>
                <w:sz w:val="24"/>
                <w:szCs w:val="24"/>
              </w:rPr>
              <w:t xml:space="preserve">по СПРЗСР </w:t>
            </w:r>
            <w:r w:rsidRPr="00FB202F">
              <w:rPr>
                <w:rFonts w:ascii="Times New Roman" w:hAnsi="Times New Roman" w:cs="Times New Roman"/>
                <w:sz w:val="24"/>
                <w:szCs w:val="24"/>
              </w:rPr>
              <w:t>е в размер до левовата равностойност на:</w:t>
            </w:r>
          </w:p>
          <w:p w14:paraId="47A911EB" w14:textId="77777777" w:rsidR="005C6403" w:rsidRPr="00FB202F" w:rsidRDefault="005C6403" w:rsidP="00214525">
            <w:pPr>
              <w:tabs>
                <w:tab w:val="left" w:pos="0"/>
                <w:tab w:val="left" w:pos="142"/>
                <w:tab w:val="left" w:pos="1027"/>
              </w:tabs>
              <w:spacing w:line="276" w:lineRule="auto"/>
              <w:ind w:firstLine="567"/>
              <w:jc w:val="both"/>
              <w:rPr>
                <w:rFonts w:ascii="Times New Roman" w:hAnsi="Times New Roman" w:cs="Times New Roman"/>
                <w:sz w:val="24"/>
                <w:szCs w:val="24"/>
              </w:rPr>
            </w:pPr>
          </w:p>
          <w:p w14:paraId="74849AE2" w14:textId="220BB8C1" w:rsidR="005C6403" w:rsidRPr="00FB202F" w:rsidRDefault="005C6403" w:rsidP="00214525">
            <w:pPr>
              <w:tabs>
                <w:tab w:val="left" w:pos="0"/>
                <w:tab w:val="left" w:pos="142"/>
                <w:tab w:val="left" w:pos="1027"/>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а) 2 300 000 евро, включващ средства за изпълнение на проекти по стратегията, средства за изпълнение на дейности за сътрудничество и средства за управление, мониторинг и оценка на стратегията и нейното популяризиране, когато МИГ обхваща територия с население от 10 000 до 15 000 жители (включително);</w:t>
            </w:r>
          </w:p>
          <w:p w14:paraId="681BD748" w14:textId="77777777" w:rsidR="005C6403" w:rsidRPr="00FB202F" w:rsidRDefault="005C6403" w:rsidP="00214525">
            <w:pPr>
              <w:tabs>
                <w:tab w:val="left" w:pos="176"/>
                <w:tab w:val="left" w:pos="885"/>
                <w:tab w:val="left" w:pos="1027"/>
              </w:tabs>
              <w:spacing w:line="276" w:lineRule="auto"/>
              <w:ind w:firstLine="567"/>
              <w:jc w:val="both"/>
              <w:rPr>
                <w:rFonts w:ascii="Times New Roman" w:hAnsi="Times New Roman" w:cs="Times New Roman"/>
                <w:sz w:val="24"/>
                <w:szCs w:val="24"/>
              </w:rPr>
            </w:pPr>
          </w:p>
          <w:p w14:paraId="1E36CE82" w14:textId="761BAB17" w:rsidR="005C6403" w:rsidRPr="00FB202F" w:rsidRDefault="005C6403" w:rsidP="00214525">
            <w:pPr>
              <w:tabs>
                <w:tab w:val="left" w:pos="176"/>
                <w:tab w:val="left" w:pos="885"/>
                <w:tab w:val="left" w:pos="1027"/>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б) 3 000 000 евро, включващ средства за изпълнение на проекти по стратегията, средства за изпълнение на дейности за сътрудничество и средства за управление, мониторинг и оценка на стратегията и нейното популяризиране, когато МИГ обхваща територия с население над 15 001 жители (включително).</w:t>
            </w:r>
          </w:p>
          <w:p w14:paraId="4CDD4C2B" w14:textId="77777777" w:rsidR="005C6403" w:rsidRPr="00FB202F" w:rsidRDefault="005C6403" w:rsidP="00214525">
            <w:pPr>
              <w:tabs>
                <w:tab w:val="left" w:pos="176"/>
                <w:tab w:val="left" w:pos="885"/>
                <w:tab w:val="left" w:pos="1027"/>
              </w:tabs>
              <w:spacing w:line="276" w:lineRule="auto"/>
              <w:ind w:firstLine="567"/>
              <w:jc w:val="both"/>
              <w:rPr>
                <w:rFonts w:ascii="Times New Roman" w:hAnsi="Times New Roman" w:cs="Times New Roman"/>
                <w:sz w:val="24"/>
                <w:szCs w:val="24"/>
              </w:rPr>
            </w:pPr>
          </w:p>
          <w:p w14:paraId="1E1BA4C3" w14:textId="42B6AF29" w:rsidR="000013D3" w:rsidRPr="00FB202F" w:rsidRDefault="005C6403" w:rsidP="00214525">
            <w:pPr>
              <w:tabs>
                <w:tab w:val="left" w:pos="176"/>
                <w:tab w:val="left" w:pos="885"/>
                <w:tab w:val="left" w:pos="1027"/>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Курсът на еврото, който се прилага за изчисление на бюджета на стратегиите по ЕЗФРСР е 1,9558 лева за 1 евро. </w:t>
            </w:r>
          </w:p>
          <w:p w14:paraId="6A6DBB66" w14:textId="77777777" w:rsidR="000013D3" w:rsidRPr="00FB202F" w:rsidRDefault="000013D3" w:rsidP="00214525">
            <w:pPr>
              <w:tabs>
                <w:tab w:val="left" w:pos="176"/>
                <w:tab w:val="left" w:pos="885"/>
                <w:tab w:val="left" w:pos="1027"/>
              </w:tabs>
              <w:spacing w:line="276" w:lineRule="auto"/>
              <w:ind w:firstLine="567"/>
              <w:jc w:val="both"/>
              <w:rPr>
                <w:rFonts w:ascii="Times New Roman" w:hAnsi="Times New Roman" w:cs="Times New Roman"/>
                <w:sz w:val="24"/>
                <w:szCs w:val="24"/>
              </w:rPr>
            </w:pPr>
          </w:p>
          <w:p w14:paraId="58D35C8E" w14:textId="614EE94B" w:rsidR="000F28BB" w:rsidRPr="002F2814" w:rsidRDefault="00FF043D" w:rsidP="001E1620">
            <w:pPr>
              <w:tabs>
                <w:tab w:val="left" w:pos="176"/>
                <w:tab w:val="left" w:pos="885"/>
                <w:tab w:val="left" w:pos="1027"/>
              </w:tabs>
              <w:spacing w:line="276" w:lineRule="auto"/>
              <w:ind w:firstLine="626"/>
              <w:contextualSpacing/>
              <w:jc w:val="both"/>
              <w:rPr>
                <w:rFonts w:ascii="Times New Roman" w:hAnsi="Times New Roman" w:cs="Times New Roman"/>
                <w:sz w:val="24"/>
                <w:szCs w:val="24"/>
              </w:rPr>
            </w:pPr>
            <w:r>
              <w:rPr>
                <w:rFonts w:ascii="Times New Roman" w:hAnsi="Times New Roman" w:cs="Times New Roman"/>
                <w:sz w:val="24"/>
                <w:szCs w:val="24"/>
              </w:rPr>
              <w:t xml:space="preserve">9.2. </w:t>
            </w:r>
            <w:r w:rsidR="00807094" w:rsidRPr="00FB202F">
              <w:rPr>
                <w:rFonts w:ascii="Times New Roman" w:hAnsi="Times New Roman" w:cs="Times New Roman"/>
                <w:sz w:val="24"/>
                <w:szCs w:val="24"/>
              </w:rPr>
              <w:t>Максималният размер на общия публичен принос</w:t>
            </w:r>
            <w:r w:rsidR="00096644" w:rsidRPr="00FB202F">
              <w:rPr>
                <w:rFonts w:ascii="Times New Roman" w:hAnsi="Times New Roman" w:cs="Times New Roman"/>
                <w:sz w:val="24"/>
                <w:szCs w:val="24"/>
              </w:rPr>
              <w:t xml:space="preserve"> по допълващото финансиране, осигурено от ЕФРР и </w:t>
            </w:r>
            <w:r w:rsidR="00807094" w:rsidRPr="00FB202F">
              <w:rPr>
                <w:rFonts w:ascii="Times New Roman" w:hAnsi="Times New Roman" w:cs="Times New Roman"/>
                <w:sz w:val="24"/>
                <w:szCs w:val="24"/>
              </w:rPr>
              <w:t>ЕСФ+</w:t>
            </w:r>
            <w:r w:rsidR="00096644" w:rsidRPr="00FB202F">
              <w:rPr>
                <w:rFonts w:ascii="Times New Roman" w:hAnsi="Times New Roman" w:cs="Times New Roman"/>
                <w:sz w:val="24"/>
                <w:szCs w:val="24"/>
              </w:rPr>
              <w:t>,</w:t>
            </w:r>
            <w:r w:rsidR="00807094" w:rsidRPr="00FB202F">
              <w:rPr>
                <w:rFonts w:ascii="Times New Roman" w:hAnsi="Times New Roman" w:cs="Times New Roman"/>
                <w:sz w:val="24"/>
                <w:szCs w:val="24"/>
              </w:rPr>
              <w:t xml:space="preserve"> е </w:t>
            </w:r>
            <w:r w:rsidR="00096644" w:rsidRPr="00FB202F">
              <w:rPr>
                <w:rFonts w:ascii="Times New Roman" w:hAnsi="Times New Roman" w:cs="Times New Roman"/>
                <w:sz w:val="24"/>
                <w:szCs w:val="24"/>
              </w:rPr>
              <w:t xml:space="preserve">определен в указанията на </w:t>
            </w:r>
            <w:r w:rsidR="003F0C89" w:rsidRPr="00FB202F">
              <w:rPr>
                <w:rFonts w:ascii="Times New Roman" w:hAnsi="Times New Roman" w:cs="Times New Roman"/>
                <w:sz w:val="24"/>
                <w:szCs w:val="24"/>
              </w:rPr>
              <w:t>управляващите органи на Програма „Развитие на човешките ресурси“ за периода 2021</w:t>
            </w:r>
            <w:r w:rsidR="000D0387">
              <w:rPr>
                <w:rFonts w:ascii="Times New Roman" w:hAnsi="Times New Roman" w:cs="Times New Roman"/>
                <w:sz w:val="24"/>
                <w:szCs w:val="24"/>
              </w:rPr>
              <w:t>-</w:t>
            </w:r>
            <w:r w:rsidR="003F0C89" w:rsidRPr="00FB202F">
              <w:rPr>
                <w:rFonts w:ascii="Times New Roman" w:hAnsi="Times New Roman" w:cs="Times New Roman"/>
                <w:sz w:val="24"/>
                <w:szCs w:val="24"/>
              </w:rPr>
              <w:t xml:space="preserve">–2027 г., Програма „Околна среда“ за периода 2021–2027 г., Програма „Конкурентоспособност и иновации в предприятията“ за периода 2021–2027 г. и Програма „Образование“ за периода 2021–2027 г., </w:t>
            </w:r>
            <w:r w:rsidR="003F0C89" w:rsidRPr="002F2814">
              <w:rPr>
                <w:rFonts w:ascii="Times New Roman" w:hAnsi="Times New Roman" w:cs="Times New Roman"/>
                <w:sz w:val="24"/>
                <w:szCs w:val="24"/>
              </w:rPr>
              <w:t>които са приложение към настоящите условия.</w:t>
            </w:r>
          </w:p>
          <w:p w14:paraId="76144B93" w14:textId="77777777" w:rsidR="000F28BB" w:rsidRPr="00FB202F" w:rsidRDefault="000F28BB" w:rsidP="00FF043D">
            <w:pPr>
              <w:tabs>
                <w:tab w:val="left" w:pos="176"/>
                <w:tab w:val="left" w:pos="885"/>
                <w:tab w:val="left" w:pos="1027"/>
              </w:tabs>
              <w:spacing w:line="276" w:lineRule="auto"/>
              <w:ind w:firstLine="567"/>
              <w:jc w:val="both"/>
              <w:rPr>
                <w:rFonts w:ascii="Times New Roman" w:hAnsi="Times New Roman" w:cs="Times New Roman"/>
                <w:sz w:val="24"/>
                <w:szCs w:val="24"/>
              </w:rPr>
            </w:pPr>
          </w:p>
          <w:p w14:paraId="207EAE9E" w14:textId="67AE1955" w:rsidR="005C6403" w:rsidRPr="001E1620" w:rsidRDefault="00FF043D" w:rsidP="001E1620">
            <w:pPr>
              <w:tabs>
                <w:tab w:val="left" w:pos="176"/>
                <w:tab w:val="left" w:pos="885"/>
                <w:tab w:val="left" w:pos="1027"/>
              </w:tabs>
              <w:ind w:left="59" w:firstLine="567"/>
              <w:jc w:val="both"/>
              <w:rPr>
                <w:rFonts w:ascii="Times New Roman" w:hAnsi="Times New Roman" w:cs="Times New Roman"/>
                <w:sz w:val="24"/>
                <w:szCs w:val="24"/>
                <w:lang w:val="en-GB"/>
              </w:rPr>
            </w:pPr>
            <w:r>
              <w:rPr>
                <w:rFonts w:ascii="Times New Roman" w:hAnsi="Times New Roman" w:cs="Times New Roman"/>
                <w:sz w:val="24"/>
                <w:szCs w:val="24"/>
              </w:rPr>
              <w:t xml:space="preserve">9.3. </w:t>
            </w:r>
            <w:r w:rsidR="000F28BB" w:rsidRPr="001E1620">
              <w:rPr>
                <w:rFonts w:ascii="Times New Roman" w:hAnsi="Times New Roman" w:cs="Times New Roman"/>
                <w:sz w:val="24"/>
                <w:szCs w:val="24"/>
              </w:rPr>
              <w:t xml:space="preserve">Максималният размер на допустимите разходи за </w:t>
            </w:r>
            <w:r w:rsidR="001E0206">
              <w:rPr>
                <w:rFonts w:ascii="Times New Roman" w:hAnsi="Times New Roman" w:cs="Times New Roman"/>
                <w:sz w:val="24"/>
                <w:szCs w:val="24"/>
              </w:rPr>
              <w:t xml:space="preserve">финансиране на </w:t>
            </w:r>
            <w:r w:rsidR="000F28BB" w:rsidRPr="001E1620">
              <w:rPr>
                <w:rFonts w:ascii="Times New Roman" w:hAnsi="Times New Roman" w:cs="Times New Roman"/>
                <w:sz w:val="24"/>
                <w:szCs w:val="24"/>
              </w:rPr>
              <w:t>един проект към стратегия за ВОМР, финансирана от ЕЗФРСР</w:t>
            </w:r>
            <w:r w:rsidR="00B5345C">
              <w:rPr>
                <w:rFonts w:ascii="Times New Roman" w:hAnsi="Times New Roman" w:cs="Times New Roman"/>
                <w:sz w:val="24"/>
                <w:szCs w:val="24"/>
              </w:rPr>
              <w:t>,</w:t>
            </w:r>
            <w:r w:rsidR="000F28BB" w:rsidRPr="001E1620">
              <w:rPr>
                <w:rFonts w:ascii="Times New Roman" w:hAnsi="Times New Roman" w:cs="Times New Roman"/>
                <w:sz w:val="24"/>
                <w:szCs w:val="24"/>
              </w:rPr>
              <w:t xml:space="preserve"> </w:t>
            </w:r>
            <w:r w:rsidR="00064500" w:rsidRPr="001E1620">
              <w:rPr>
                <w:rFonts w:ascii="Times New Roman" w:hAnsi="Times New Roman" w:cs="Times New Roman"/>
                <w:sz w:val="24"/>
                <w:szCs w:val="24"/>
              </w:rPr>
              <w:t xml:space="preserve">не може да надвишава </w:t>
            </w:r>
            <w:r w:rsidR="000F28BB" w:rsidRPr="001E1620">
              <w:rPr>
                <w:rFonts w:ascii="Times New Roman" w:hAnsi="Times New Roman" w:cs="Times New Roman"/>
                <w:sz w:val="24"/>
                <w:szCs w:val="24"/>
              </w:rPr>
              <w:t>левовата равностойност на 200 000 евро.</w:t>
            </w:r>
          </w:p>
          <w:p w14:paraId="517AF1A3" w14:textId="77777777" w:rsidR="000A6994" w:rsidRPr="00214525" w:rsidRDefault="000A6994" w:rsidP="001E1620">
            <w:pPr>
              <w:pStyle w:val="ListParagraph"/>
              <w:tabs>
                <w:tab w:val="left" w:pos="176"/>
                <w:tab w:val="left" w:pos="885"/>
                <w:tab w:val="left" w:pos="1027"/>
              </w:tabs>
              <w:spacing w:line="276" w:lineRule="auto"/>
              <w:ind w:left="59" w:firstLine="567"/>
              <w:jc w:val="both"/>
              <w:rPr>
                <w:rFonts w:ascii="Times New Roman" w:hAnsi="Times New Roman" w:cs="Times New Roman"/>
                <w:sz w:val="24"/>
                <w:szCs w:val="24"/>
                <w:lang w:val="en-GB"/>
              </w:rPr>
            </w:pPr>
          </w:p>
          <w:p w14:paraId="753556B3" w14:textId="50814E3C" w:rsidR="000A6994" w:rsidRPr="001E1620" w:rsidRDefault="00FF043D" w:rsidP="001E1620">
            <w:pPr>
              <w:tabs>
                <w:tab w:val="left" w:pos="176"/>
                <w:tab w:val="left" w:pos="885"/>
                <w:tab w:val="left" w:pos="1027"/>
              </w:tabs>
              <w:ind w:left="59" w:firstLine="567"/>
              <w:jc w:val="both"/>
              <w:rPr>
                <w:rFonts w:ascii="Times New Roman" w:hAnsi="Times New Roman" w:cs="Times New Roman"/>
                <w:sz w:val="24"/>
                <w:szCs w:val="24"/>
                <w:lang w:val="en-GB"/>
              </w:rPr>
            </w:pPr>
            <w:r>
              <w:rPr>
                <w:rFonts w:ascii="Times New Roman" w:hAnsi="Times New Roman" w:cs="Times New Roman"/>
                <w:sz w:val="24"/>
                <w:szCs w:val="24"/>
              </w:rPr>
              <w:t xml:space="preserve">9.4. </w:t>
            </w:r>
            <w:r w:rsidR="000A6994" w:rsidRPr="001E1620">
              <w:rPr>
                <w:rFonts w:ascii="Times New Roman" w:hAnsi="Times New Roman" w:cs="Times New Roman"/>
                <w:sz w:val="24"/>
                <w:szCs w:val="24"/>
              </w:rPr>
              <w:t xml:space="preserve">Минималният размер на допустимите разходи за </w:t>
            </w:r>
            <w:r w:rsidR="001E0206">
              <w:rPr>
                <w:rFonts w:ascii="Times New Roman" w:hAnsi="Times New Roman" w:cs="Times New Roman"/>
                <w:sz w:val="24"/>
                <w:szCs w:val="24"/>
              </w:rPr>
              <w:t xml:space="preserve">финансиране на </w:t>
            </w:r>
            <w:r w:rsidR="000A6994" w:rsidRPr="001E1620">
              <w:rPr>
                <w:rFonts w:ascii="Times New Roman" w:hAnsi="Times New Roman" w:cs="Times New Roman"/>
                <w:sz w:val="24"/>
                <w:szCs w:val="24"/>
              </w:rPr>
              <w:t>един проект към стратегия за ВОМР, финансирана от ЕЗФРСР</w:t>
            </w:r>
            <w:r w:rsidR="00B5345C">
              <w:rPr>
                <w:rFonts w:ascii="Times New Roman" w:hAnsi="Times New Roman" w:cs="Times New Roman"/>
                <w:sz w:val="24"/>
                <w:szCs w:val="24"/>
              </w:rPr>
              <w:t>,</w:t>
            </w:r>
            <w:r w:rsidR="000A6994" w:rsidRPr="001E1620">
              <w:rPr>
                <w:rFonts w:ascii="Times New Roman" w:hAnsi="Times New Roman" w:cs="Times New Roman"/>
                <w:sz w:val="24"/>
                <w:szCs w:val="24"/>
              </w:rPr>
              <w:t xml:space="preserve"> е левовата равностойност на 2 500 евро.</w:t>
            </w:r>
          </w:p>
        </w:tc>
      </w:tr>
    </w:tbl>
    <w:p w14:paraId="70C292D5" w14:textId="77777777" w:rsidR="003935EC" w:rsidRPr="00FB202F" w:rsidRDefault="003935EC" w:rsidP="00044F85">
      <w:pPr>
        <w:tabs>
          <w:tab w:val="left" w:pos="0"/>
          <w:tab w:val="left" w:pos="709"/>
        </w:tabs>
        <w:spacing w:after="0"/>
        <w:ind w:firstLine="567"/>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FB202F" w:rsidRPr="00FB202F" w14:paraId="4E01908A" w14:textId="77777777" w:rsidTr="000D7565">
        <w:tc>
          <w:tcPr>
            <w:tcW w:w="9781" w:type="dxa"/>
          </w:tcPr>
          <w:p w14:paraId="7387F91A" w14:textId="539C7779" w:rsidR="003935EC" w:rsidRPr="0060581B" w:rsidRDefault="003935EC" w:rsidP="00044F85">
            <w:pPr>
              <w:numPr>
                <w:ilvl w:val="0"/>
                <w:numId w:val="1"/>
              </w:numPr>
              <w:tabs>
                <w:tab w:val="left" w:pos="0"/>
                <w:tab w:val="left" w:pos="34"/>
              </w:tabs>
              <w:spacing w:after="200" w:line="276" w:lineRule="auto"/>
              <w:ind w:left="0" w:firstLine="567"/>
              <w:contextualSpacing/>
              <w:jc w:val="both"/>
              <w:rPr>
                <w:rFonts w:ascii="Times New Roman" w:hAnsi="Times New Roman" w:cs="Times New Roman"/>
                <w:sz w:val="24"/>
                <w:szCs w:val="24"/>
                <w:shd w:val="clear" w:color="auto" w:fill="FEFEFE"/>
              </w:rPr>
            </w:pPr>
            <w:r w:rsidRPr="0060581B">
              <w:rPr>
                <w:rFonts w:ascii="Times New Roman" w:hAnsi="Times New Roman" w:cs="Times New Roman"/>
                <w:sz w:val="24"/>
                <w:szCs w:val="24"/>
                <w:shd w:val="clear" w:color="auto" w:fill="FEFEFE"/>
              </w:rPr>
              <w:lastRenderedPageBreak/>
              <w:t>Процент на съфинансиране:</w:t>
            </w:r>
          </w:p>
          <w:p w14:paraId="5AB83A86" w14:textId="3BF161D2" w:rsidR="002D2369" w:rsidRDefault="00FA002A" w:rsidP="007541D6">
            <w:pPr>
              <w:tabs>
                <w:tab w:val="left" w:pos="34"/>
              </w:tabs>
              <w:spacing w:line="276" w:lineRule="auto"/>
              <w:ind w:firstLine="567"/>
              <w:jc w:val="both"/>
              <w:rPr>
                <w:rFonts w:ascii="Times New Roman" w:hAnsi="Times New Roman" w:cs="Times New Roman"/>
                <w:sz w:val="24"/>
                <w:szCs w:val="24"/>
                <w:shd w:val="clear" w:color="auto" w:fill="FEFEFE"/>
              </w:rPr>
            </w:pPr>
            <w:r w:rsidRPr="00495608">
              <w:rPr>
                <w:rFonts w:ascii="Times New Roman" w:hAnsi="Times New Roman" w:cs="Times New Roman"/>
                <w:shd w:val="clear" w:color="auto" w:fill="FEFEFE"/>
              </w:rPr>
              <w:t>За операции по мерките, включени в стратегиите за ВОМР по чл. 34, т. 1, буква „б“ на</w:t>
            </w:r>
            <w:r w:rsidRPr="001034C2">
              <w:rPr>
                <w:rFonts w:ascii="Times New Roman" w:hAnsi="Times New Roman" w:cs="Times New Roman"/>
                <w:shd w:val="clear" w:color="auto" w:fill="FEFEFE"/>
              </w:rPr>
              <w:t xml:space="preserve"> </w:t>
            </w:r>
            <w:r w:rsidRPr="001034C2">
              <w:rPr>
                <w:rFonts w:ascii="Times New Roman" w:hAnsi="Times New Roman" w:cs="Times New Roman"/>
                <w:bCs/>
              </w:rPr>
              <w:t xml:space="preserve">Регламент (ЕС) 2021/1060 </w:t>
            </w:r>
            <w:r w:rsidRPr="00041E2B">
              <w:rPr>
                <w:rFonts w:ascii="Times New Roman" w:hAnsi="Times New Roman" w:cs="Times New Roman"/>
                <w:bCs/>
              </w:rPr>
              <w:t xml:space="preserve">на Европейския парламент и на Съвета </w:t>
            </w:r>
            <w:r w:rsidRPr="002F1854">
              <w:rPr>
                <w:rFonts w:ascii="Times New Roman" w:hAnsi="Times New Roman" w:cs="Times New Roman"/>
                <w:bCs/>
                <w:color w:val="000000"/>
                <w:sz w:val="24"/>
                <w:szCs w:val="24"/>
              </w:rPr>
              <w:t>от 24 юни 2021 година</w:t>
            </w:r>
            <w:r w:rsidRPr="00041E2B">
              <w:rPr>
                <w:rFonts w:ascii="Times New Roman" w:hAnsi="Times New Roman" w:cs="Times New Roman"/>
                <w:bCs/>
              </w:rPr>
              <w:t xml:space="preserve"> </w:t>
            </w:r>
            <w:r w:rsidRPr="002F1854">
              <w:rPr>
                <w:rFonts w:ascii="Times New Roman" w:hAnsi="Times New Roman" w:cs="Times New Roman"/>
                <w:bCs/>
                <w:color w:val="000000"/>
                <w:sz w:val="24"/>
                <w:szCs w:val="24"/>
              </w:rPr>
              <w:t>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05335F">
              <w:rPr>
                <w:rFonts w:ascii="Times New Roman" w:hAnsi="Times New Roman" w:cs="Times New Roman"/>
                <w:bCs/>
              </w:rPr>
              <w:t xml:space="preserve"> </w:t>
            </w:r>
            <w:r w:rsidR="0005335F">
              <w:rPr>
                <w:rFonts w:ascii="Times New Roman" w:hAnsi="Times New Roman" w:cs="Times New Roman"/>
                <w:sz w:val="24"/>
                <w:szCs w:val="24"/>
                <w:shd w:val="clear" w:color="auto" w:fill="FEFEFE"/>
              </w:rPr>
              <w:t>и</w:t>
            </w:r>
            <w:r w:rsidR="009E39C5">
              <w:rPr>
                <w:rFonts w:ascii="Times New Roman" w:hAnsi="Times New Roman" w:cs="Times New Roman"/>
                <w:sz w:val="24"/>
                <w:szCs w:val="24"/>
                <w:shd w:val="clear" w:color="auto" w:fill="FEFEFE"/>
              </w:rPr>
              <w:t xml:space="preserve">нтензитетът на помощта се определя </w:t>
            </w:r>
            <w:r w:rsidR="007E4B36">
              <w:rPr>
                <w:rFonts w:ascii="Times New Roman" w:hAnsi="Times New Roman" w:cs="Times New Roman"/>
                <w:sz w:val="24"/>
                <w:szCs w:val="24"/>
                <w:shd w:val="clear" w:color="auto" w:fill="FEFEFE"/>
              </w:rPr>
              <w:t xml:space="preserve">в мерките от стратегията за ВОМР </w:t>
            </w:r>
            <w:r w:rsidR="009E39C5">
              <w:rPr>
                <w:rFonts w:ascii="Times New Roman" w:hAnsi="Times New Roman" w:cs="Times New Roman"/>
                <w:sz w:val="24"/>
                <w:szCs w:val="24"/>
                <w:shd w:val="clear" w:color="auto" w:fill="FEFEFE"/>
              </w:rPr>
              <w:t xml:space="preserve">съгласно чл. 73, т. 4 на Регламент </w:t>
            </w:r>
            <w:r w:rsidR="009E39C5" w:rsidRPr="0060581B">
              <w:rPr>
                <w:rFonts w:ascii="Times New Roman" w:hAnsi="Times New Roman" w:cs="Times New Roman"/>
                <w:sz w:val="24"/>
                <w:szCs w:val="24"/>
                <w:shd w:val="clear" w:color="auto" w:fill="FEFEFE"/>
              </w:rPr>
              <w:t>(ЕС) 202</w:t>
            </w:r>
            <w:r w:rsidR="00BA67CD">
              <w:rPr>
                <w:rFonts w:ascii="Times New Roman" w:hAnsi="Times New Roman" w:cs="Times New Roman"/>
                <w:sz w:val="24"/>
                <w:szCs w:val="24"/>
                <w:shd w:val="clear" w:color="auto" w:fill="FEFEFE"/>
              </w:rPr>
              <w:t>1</w:t>
            </w:r>
            <w:r w:rsidR="009E39C5" w:rsidRPr="0060581B">
              <w:rPr>
                <w:rFonts w:ascii="Times New Roman" w:hAnsi="Times New Roman" w:cs="Times New Roman"/>
                <w:sz w:val="24"/>
                <w:szCs w:val="24"/>
                <w:shd w:val="clear" w:color="auto" w:fill="FEFEFE"/>
              </w:rPr>
              <w:t>/2115</w:t>
            </w:r>
            <w:r w:rsidR="009E39C5">
              <w:rPr>
                <w:rFonts w:ascii="Times New Roman" w:hAnsi="Times New Roman" w:cs="Times New Roman"/>
                <w:sz w:val="24"/>
                <w:szCs w:val="24"/>
                <w:shd w:val="clear" w:color="auto" w:fill="FEFEFE"/>
              </w:rPr>
              <w:t xml:space="preserve">, както следва: </w:t>
            </w:r>
          </w:p>
          <w:p w14:paraId="07FE5062" w14:textId="77777777" w:rsidR="009E39C5" w:rsidRDefault="009E39C5" w:rsidP="007541D6">
            <w:pPr>
              <w:tabs>
                <w:tab w:val="left" w:pos="34"/>
              </w:tabs>
              <w:spacing w:line="276" w:lineRule="auto"/>
              <w:ind w:firstLine="567"/>
              <w:jc w:val="both"/>
              <w:rPr>
                <w:rFonts w:ascii="Times New Roman" w:hAnsi="Times New Roman" w:cs="Times New Roman"/>
                <w:sz w:val="24"/>
                <w:szCs w:val="24"/>
                <w:shd w:val="clear" w:color="auto" w:fill="FEFEFE"/>
              </w:rPr>
            </w:pPr>
          </w:p>
          <w:p w14:paraId="1793193D" w14:textId="4DF5F367" w:rsidR="00582F92" w:rsidRPr="0060581B" w:rsidRDefault="007E4B36" w:rsidP="005F704F">
            <w:pPr>
              <w:pStyle w:val="ListParagraph"/>
              <w:numPr>
                <w:ilvl w:val="0"/>
                <w:numId w:val="31"/>
              </w:numPr>
              <w:tabs>
                <w:tab w:val="left" w:pos="34"/>
                <w:tab w:val="left" w:pos="849"/>
              </w:tabs>
              <w:spacing w:line="276" w:lineRule="auto"/>
              <w:ind w:left="0"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До</w:t>
            </w:r>
            <w:r w:rsidR="003030A8" w:rsidRPr="0060581B">
              <w:rPr>
                <w:rFonts w:ascii="Times New Roman" w:hAnsi="Times New Roman" w:cs="Times New Roman"/>
                <w:sz w:val="24"/>
                <w:szCs w:val="24"/>
                <w:shd w:val="clear" w:color="auto" w:fill="FEFEFE"/>
              </w:rPr>
              <w:t xml:space="preserve"> 65 % от допустимите разходи по проект за икономически дейности</w:t>
            </w:r>
            <w:r w:rsidR="009E39C5">
              <w:rPr>
                <w:rFonts w:ascii="Times New Roman" w:hAnsi="Times New Roman" w:cs="Times New Roman"/>
                <w:sz w:val="24"/>
                <w:szCs w:val="24"/>
                <w:shd w:val="clear" w:color="auto" w:fill="FEFEFE"/>
              </w:rPr>
              <w:t>;</w:t>
            </w:r>
          </w:p>
          <w:p w14:paraId="1B40CBCB" w14:textId="6F878EAE" w:rsidR="003030A8" w:rsidRPr="0060581B" w:rsidRDefault="00DC08B1" w:rsidP="005F704F">
            <w:pPr>
              <w:pStyle w:val="ListParagraph"/>
              <w:numPr>
                <w:ilvl w:val="0"/>
                <w:numId w:val="31"/>
              </w:numPr>
              <w:tabs>
                <w:tab w:val="left" w:pos="34"/>
                <w:tab w:val="left" w:pos="849"/>
              </w:tabs>
              <w:spacing w:line="276" w:lineRule="auto"/>
              <w:ind w:left="0" w:firstLine="567"/>
              <w:jc w:val="both"/>
              <w:rPr>
                <w:rFonts w:ascii="Times New Roman" w:hAnsi="Times New Roman" w:cs="Times New Roman"/>
                <w:sz w:val="24"/>
                <w:szCs w:val="24"/>
                <w:shd w:val="clear" w:color="auto" w:fill="FEFEFE"/>
              </w:rPr>
            </w:pPr>
            <w:r w:rsidRPr="0060581B">
              <w:rPr>
                <w:rFonts w:ascii="Times New Roman" w:hAnsi="Times New Roman" w:cs="Times New Roman"/>
                <w:sz w:val="24"/>
                <w:szCs w:val="24"/>
                <w:shd w:val="clear" w:color="auto" w:fill="FEFEFE"/>
              </w:rPr>
              <w:t xml:space="preserve">Максималното подпомагане може да бъде увеличено </w:t>
            </w:r>
            <w:r w:rsidR="007E4B36">
              <w:rPr>
                <w:rFonts w:ascii="Times New Roman" w:hAnsi="Times New Roman" w:cs="Times New Roman"/>
                <w:sz w:val="24"/>
                <w:szCs w:val="24"/>
                <w:shd w:val="clear" w:color="auto" w:fill="FEFEFE"/>
              </w:rPr>
              <w:t>на</w:t>
            </w:r>
            <w:r w:rsidRPr="0060581B">
              <w:rPr>
                <w:rFonts w:ascii="Times New Roman" w:hAnsi="Times New Roman" w:cs="Times New Roman"/>
                <w:sz w:val="24"/>
                <w:szCs w:val="24"/>
                <w:shd w:val="clear" w:color="auto" w:fill="FEFEFE"/>
              </w:rPr>
              <w:t xml:space="preserve"> 80% за инвестиции, извършени от млади земеделски стопани, които отговарят на следните условия съгласно СПРЗСР:</w:t>
            </w:r>
          </w:p>
          <w:p w14:paraId="285C81CA" w14:textId="38203865" w:rsidR="00DC08B1" w:rsidRPr="00FB202F" w:rsidRDefault="00582F92" w:rsidP="00044F85">
            <w:pPr>
              <w:pStyle w:val="ListParagraph"/>
              <w:numPr>
                <w:ilvl w:val="0"/>
                <w:numId w:val="17"/>
              </w:numPr>
              <w:tabs>
                <w:tab w:val="left" w:pos="34"/>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към момента на подаване на проектното предложение земеделският стопани е на възраст не повече от 40 навършени години;</w:t>
            </w:r>
          </w:p>
          <w:p w14:paraId="00E7CA73" w14:textId="3E79A85D" w:rsidR="00582F92" w:rsidRPr="00FB202F" w:rsidRDefault="00582F92" w:rsidP="00044F85">
            <w:pPr>
              <w:pStyle w:val="ListParagraph"/>
              <w:numPr>
                <w:ilvl w:val="0"/>
                <w:numId w:val="17"/>
              </w:numPr>
              <w:tabs>
                <w:tab w:val="left" w:pos="34"/>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да е ръководител на земеделско стопанство лице, което изпълнява следните условия: кандидат/бенефициент физическо лице, собственик на предприятието на кандидата/бенефициента ЕТ или собственик на капитала на кандидата/бенефициента ЕООД. В случай на юридическо лице (ЕООД), условието е управителят да бъде едноличен собственик на капитала на дружеството-кандидат;</w:t>
            </w:r>
          </w:p>
          <w:p w14:paraId="0371B621" w14:textId="40CEB764" w:rsidR="00582F92" w:rsidRPr="00FB202F" w:rsidRDefault="00582F92" w:rsidP="007541D6">
            <w:pPr>
              <w:pStyle w:val="ListParagraph"/>
              <w:numPr>
                <w:ilvl w:val="0"/>
                <w:numId w:val="17"/>
              </w:numPr>
              <w:tabs>
                <w:tab w:val="left" w:pos="34"/>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да е лице, което притежава професионални умения и компетентности в областта на селското стопанство и/или ветеринарната медицина, и/или икономическо образование със земеделска насоченост;</w:t>
            </w:r>
          </w:p>
          <w:p w14:paraId="5D45A374" w14:textId="05F80148" w:rsidR="00582F92" w:rsidRPr="00FB202F" w:rsidRDefault="00E10BCA" w:rsidP="007541D6">
            <w:pPr>
              <w:pStyle w:val="ListParagraph"/>
              <w:numPr>
                <w:ilvl w:val="0"/>
                <w:numId w:val="17"/>
              </w:numPr>
              <w:tabs>
                <w:tab w:val="left" w:pos="34"/>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w:t>
            </w:r>
            <w:r w:rsidR="00582F92" w:rsidRPr="00FB202F">
              <w:rPr>
                <w:rFonts w:ascii="Times New Roman" w:hAnsi="Times New Roman" w:cs="Times New Roman"/>
                <w:sz w:val="24"/>
                <w:szCs w:val="24"/>
                <w:shd w:val="clear" w:color="auto" w:fill="FEFEFE"/>
              </w:rPr>
              <w:t>а е лице, което притежава професионални умения и компетентности в областта на селското стопанство и/или ветеринарната медицина, и/или икономическо образование със земеделска насоченост, е такова, което има завършено средно/висше образование в областта на селското стопанство или ветеринарната медицина, или средно/висше икономическо образование със земеделска насоченост; и/или удостоверение за завършен курс от минимум 150 часа или свидетелство за професионална квалификация в областта на селското стопанство.</w:t>
            </w:r>
          </w:p>
          <w:p w14:paraId="499B4B19" w14:textId="5C3CDB10" w:rsidR="00582F92" w:rsidRPr="0060581B" w:rsidRDefault="00582F92" w:rsidP="004B11FC">
            <w:pPr>
              <w:pStyle w:val="ListParagraph"/>
              <w:numPr>
                <w:ilvl w:val="0"/>
                <w:numId w:val="32"/>
              </w:numPr>
              <w:tabs>
                <w:tab w:val="left" w:pos="34"/>
                <w:tab w:val="left" w:pos="812"/>
              </w:tabs>
              <w:spacing w:line="276" w:lineRule="auto"/>
              <w:ind w:left="0" w:firstLine="567"/>
              <w:jc w:val="both"/>
              <w:rPr>
                <w:rFonts w:ascii="Times New Roman" w:hAnsi="Times New Roman" w:cs="Times New Roman"/>
                <w:sz w:val="24"/>
                <w:szCs w:val="24"/>
                <w:shd w:val="clear" w:color="auto" w:fill="FEFEFE"/>
              </w:rPr>
            </w:pPr>
            <w:r w:rsidRPr="0060581B">
              <w:rPr>
                <w:rFonts w:ascii="Times New Roman" w:hAnsi="Times New Roman" w:cs="Times New Roman"/>
                <w:sz w:val="24"/>
                <w:szCs w:val="24"/>
                <w:shd w:val="clear" w:color="auto" w:fill="FEFEFE"/>
              </w:rPr>
              <w:t>Максималното подпомагане може да бъде увеличено до 85 % за инвестиции на малки стопанства</w:t>
            </w:r>
            <w:r w:rsidR="00B167A8" w:rsidRPr="0060581B">
              <w:rPr>
                <w:rFonts w:ascii="Times New Roman" w:hAnsi="Times New Roman" w:cs="Times New Roman"/>
                <w:sz w:val="24"/>
                <w:szCs w:val="24"/>
                <w:shd w:val="clear" w:color="auto" w:fill="FEFEFE"/>
              </w:rPr>
              <w:t xml:space="preserve"> (икономически размер на стопанството, измерен в стандартен производствен обем – до 8</w:t>
            </w:r>
            <w:r w:rsidR="005F4CFC">
              <w:rPr>
                <w:rFonts w:ascii="Times New Roman" w:hAnsi="Times New Roman" w:cs="Times New Roman"/>
                <w:sz w:val="24"/>
                <w:szCs w:val="24"/>
                <w:shd w:val="clear" w:color="auto" w:fill="FEFEFE"/>
              </w:rPr>
              <w:t> </w:t>
            </w:r>
            <w:r w:rsidR="00B167A8" w:rsidRPr="0060581B">
              <w:rPr>
                <w:rFonts w:ascii="Times New Roman" w:hAnsi="Times New Roman" w:cs="Times New Roman"/>
                <w:sz w:val="24"/>
                <w:szCs w:val="24"/>
                <w:shd w:val="clear" w:color="auto" w:fill="FEFEFE"/>
              </w:rPr>
              <w:t>000</w:t>
            </w:r>
            <w:r w:rsidR="005F4CFC">
              <w:rPr>
                <w:rFonts w:ascii="Times New Roman" w:hAnsi="Times New Roman" w:cs="Times New Roman"/>
                <w:sz w:val="24"/>
                <w:szCs w:val="24"/>
                <w:shd w:val="clear" w:color="auto" w:fill="FEFEFE"/>
              </w:rPr>
              <w:t xml:space="preserve"> евро</w:t>
            </w:r>
            <w:r w:rsidR="00B167A8" w:rsidRPr="0060581B">
              <w:rPr>
                <w:rFonts w:ascii="Times New Roman" w:hAnsi="Times New Roman" w:cs="Times New Roman"/>
                <w:sz w:val="24"/>
                <w:szCs w:val="24"/>
                <w:shd w:val="clear" w:color="auto" w:fill="FEFEFE"/>
              </w:rPr>
              <w:t xml:space="preserve"> включител</w:t>
            </w:r>
            <w:r w:rsidR="00696786">
              <w:rPr>
                <w:rFonts w:ascii="Times New Roman" w:hAnsi="Times New Roman" w:cs="Times New Roman"/>
                <w:sz w:val="24"/>
                <w:szCs w:val="24"/>
                <w:shd w:val="clear" w:color="auto" w:fill="FEFEFE"/>
              </w:rPr>
              <w:t>н</w:t>
            </w:r>
            <w:r w:rsidR="00B167A8" w:rsidRPr="0060581B">
              <w:rPr>
                <w:rFonts w:ascii="Times New Roman" w:hAnsi="Times New Roman" w:cs="Times New Roman"/>
                <w:sz w:val="24"/>
                <w:szCs w:val="24"/>
                <w:shd w:val="clear" w:color="auto" w:fill="FEFEFE"/>
              </w:rPr>
              <w:t>о)</w:t>
            </w:r>
            <w:r w:rsidR="00A27FDD">
              <w:rPr>
                <w:rFonts w:ascii="Times New Roman" w:hAnsi="Times New Roman" w:cs="Times New Roman"/>
                <w:sz w:val="24"/>
                <w:szCs w:val="24"/>
                <w:shd w:val="clear" w:color="auto" w:fill="FEFEFE"/>
              </w:rPr>
              <w:t>;</w:t>
            </w:r>
          </w:p>
          <w:p w14:paraId="7C25B34B" w14:textId="5046D742" w:rsidR="003935EC" w:rsidRDefault="000F779C" w:rsidP="004B11FC">
            <w:pPr>
              <w:pStyle w:val="ListParagraph"/>
              <w:numPr>
                <w:ilvl w:val="0"/>
                <w:numId w:val="32"/>
              </w:numPr>
              <w:tabs>
                <w:tab w:val="left" w:pos="34"/>
                <w:tab w:val="left" w:pos="812"/>
              </w:tabs>
              <w:spacing w:line="276" w:lineRule="auto"/>
              <w:ind w:left="0"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На</w:t>
            </w:r>
            <w:r w:rsidR="003935EC" w:rsidRPr="0060581B">
              <w:rPr>
                <w:rFonts w:ascii="Times New Roman" w:hAnsi="Times New Roman" w:cs="Times New Roman"/>
                <w:sz w:val="24"/>
                <w:szCs w:val="24"/>
                <w:shd w:val="clear" w:color="auto" w:fill="FEFEFE"/>
              </w:rPr>
              <w:t xml:space="preserve"> 100 на сто от допустимите разходи по проект</w:t>
            </w:r>
            <w:r w:rsidR="003030A8" w:rsidRPr="0060581B">
              <w:rPr>
                <w:rFonts w:ascii="Times New Roman" w:hAnsi="Times New Roman" w:cs="Times New Roman"/>
                <w:sz w:val="24"/>
                <w:szCs w:val="24"/>
                <w:shd w:val="clear" w:color="auto" w:fill="FEFEFE"/>
              </w:rPr>
              <w:t xml:space="preserve"> за </w:t>
            </w:r>
            <w:r w:rsidR="00993771" w:rsidRPr="0060581B">
              <w:rPr>
                <w:rFonts w:ascii="Times New Roman" w:hAnsi="Times New Roman" w:cs="Times New Roman"/>
                <w:sz w:val="24"/>
                <w:szCs w:val="24"/>
                <w:shd w:val="clear" w:color="auto" w:fill="FEFEFE"/>
              </w:rPr>
              <w:t>инвестиции</w:t>
            </w:r>
            <w:r w:rsidR="003030A8" w:rsidRPr="0060581B">
              <w:rPr>
                <w:rFonts w:ascii="Times New Roman" w:hAnsi="Times New Roman" w:cs="Times New Roman"/>
                <w:sz w:val="24"/>
                <w:szCs w:val="24"/>
                <w:shd w:val="clear" w:color="auto" w:fill="FEFEFE"/>
              </w:rPr>
              <w:t xml:space="preserve"> съгласно </w:t>
            </w:r>
            <w:r w:rsidR="0034128E" w:rsidRPr="0060581B">
              <w:rPr>
                <w:rFonts w:ascii="Times New Roman" w:hAnsi="Times New Roman" w:cs="Times New Roman"/>
                <w:sz w:val="24"/>
                <w:szCs w:val="24"/>
                <w:shd w:val="clear" w:color="auto" w:fill="FEFEFE"/>
              </w:rPr>
              <w:t xml:space="preserve">чл. 73, пар. 4, т. </w:t>
            </w:r>
            <w:r w:rsidR="00554E54" w:rsidRPr="0060581B">
              <w:rPr>
                <w:rFonts w:ascii="Times New Roman" w:hAnsi="Times New Roman" w:cs="Times New Roman"/>
                <w:sz w:val="24"/>
                <w:szCs w:val="24"/>
                <w:shd w:val="clear" w:color="auto" w:fill="FEFEFE"/>
              </w:rPr>
              <w:t>в) на Регламент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p>
          <w:p w14:paraId="30ED05B2" w14:textId="77777777" w:rsidR="00A27FDD" w:rsidRPr="0060581B" w:rsidRDefault="00A27FDD" w:rsidP="007541D6">
            <w:pPr>
              <w:pStyle w:val="ListParagraph"/>
              <w:tabs>
                <w:tab w:val="left" w:pos="34"/>
              </w:tabs>
              <w:spacing w:line="276" w:lineRule="auto"/>
              <w:ind w:left="0" w:firstLine="567"/>
              <w:jc w:val="both"/>
              <w:rPr>
                <w:rFonts w:ascii="Times New Roman" w:hAnsi="Times New Roman" w:cs="Times New Roman"/>
                <w:sz w:val="24"/>
                <w:szCs w:val="24"/>
                <w:shd w:val="clear" w:color="auto" w:fill="FEFEFE"/>
              </w:rPr>
            </w:pPr>
          </w:p>
          <w:p w14:paraId="3C535996" w14:textId="3C76FF64" w:rsidR="00A27FDD" w:rsidRPr="001E1620" w:rsidRDefault="004B11FC" w:rsidP="001E1620">
            <w:pPr>
              <w:tabs>
                <w:tab w:val="left" w:pos="34"/>
              </w:tabs>
              <w:ind w:firstLine="6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10.1. </w:t>
            </w:r>
            <w:r w:rsidR="00A27FDD" w:rsidRPr="001E1620">
              <w:rPr>
                <w:rFonts w:ascii="Times New Roman" w:hAnsi="Times New Roman" w:cs="Times New Roman"/>
                <w:sz w:val="24"/>
                <w:szCs w:val="24"/>
                <w:shd w:val="clear" w:color="auto" w:fill="FEFEFE"/>
              </w:rPr>
              <w:t xml:space="preserve">За управление, мониторинг и оценка на стратегията за ВОМР и нейното </w:t>
            </w:r>
            <w:r w:rsidR="00A27FDD" w:rsidRPr="001E1620">
              <w:rPr>
                <w:rFonts w:ascii="Times New Roman" w:hAnsi="Times New Roman" w:cs="Times New Roman"/>
                <w:sz w:val="24"/>
                <w:szCs w:val="24"/>
                <w:shd w:val="clear" w:color="auto" w:fill="FEFEFE"/>
              </w:rPr>
              <w:lastRenderedPageBreak/>
              <w:t xml:space="preserve">популяризиране: </w:t>
            </w:r>
          </w:p>
          <w:p w14:paraId="6A0EC356" w14:textId="48BCEC12" w:rsidR="00A27FDD" w:rsidRDefault="000F779C" w:rsidP="004B11FC">
            <w:pPr>
              <w:pStyle w:val="ListParagraph"/>
              <w:tabs>
                <w:tab w:val="left" w:pos="34"/>
              </w:tabs>
              <w:spacing w:line="276" w:lineRule="auto"/>
              <w:ind w:left="0" w:firstLine="6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На </w:t>
            </w:r>
            <w:r w:rsidR="00A27FDD">
              <w:rPr>
                <w:rFonts w:ascii="Times New Roman" w:hAnsi="Times New Roman" w:cs="Times New Roman"/>
                <w:sz w:val="24"/>
                <w:szCs w:val="24"/>
                <w:shd w:val="clear" w:color="auto" w:fill="FEFEFE"/>
              </w:rPr>
              <w:t>100% от допустимите разходи.</w:t>
            </w:r>
          </w:p>
          <w:p w14:paraId="76FB2211" w14:textId="77777777" w:rsidR="00A27FDD" w:rsidRDefault="00A27FDD" w:rsidP="004B11FC">
            <w:pPr>
              <w:pStyle w:val="ListParagraph"/>
              <w:tabs>
                <w:tab w:val="left" w:pos="34"/>
              </w:tabs>
              <w:spacing w:line="276" w:lineRule="auto"/>
              <w:ind w:left="0" w:firstLine="626"/>
              <w:jc w:val="both"/>
              <w:rPr>
                <w:rFonts w:ascii="Times New Roman" w:hAnsi="Times New Roman" w:cs="Times New Roman"/>
                <w:sz w:val="24"/>
                <w:szCs w:val="24"/>
                <w:shd w:val="clear" w:color="auto" w:fill="FEFEFE"/>
              </w:rPr>
            </w:pPr>
          </w:p>
          <w:p w14:paraId="2B493C59" w14:textId="0505CEBA" w:rsidR="00A27FDD" w:rsidRPr="001E1620" w:rsidRDefault="004B11FC" w:rsidP="001E1620">
            <w:pPr>
              <w:tabs>
                <w:tab w:val="left" w:pos="34"/>
              </w:tabs>
              <w:ind w:firstLine="6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10.2. </w:t>
            </w:r>
            <w:r w:rsidR="00A27FDD" w:rsidRPr="001E1620">
              <w:rPr>
                <w:rFonts w:ascii="Times New Roman" w:hAnsi="Times New Roman" w:cs="Times New Roman"/>
                <w:sz w:val="24"/>
                <w:szCs w:val="24"/>
                <w:shd w:val="clear" w:color="auto" w:fill="FEFEFE"/>
              </w:rPr>
              <w:t>За дейности за сътрудничество и подготв</w:t>
            </w:r>
            <w:r w:rsidR="00456EB1" w:rsidRPr="001E1620">
              <w:rPr>
                <w:rFonts w:ascii="Times New Roman" w:hAnsi="Times New Roman" w:cs="Times New Roman"/>
                <w:sz w:val="24"/>
                <w:szCs w:val="24"/>
                <w:shd w:val="clear" w:color="auto" w:fill="FEFEFE"/>
              </w:rPr>
              <w:t xml:space="preserve">ителни дейности </w:t>
            </w:r>
            <w:r w:rsidR="00A27FDD" w:rsidRPr="001E1620">
              <w:rPr>
                <w:rFonts w:ascii="Times New Roman" w:hAnsi="Times New Roman" w:cs="Times New Roman"/>
                <w:sz w:val="24"/>
                <w:szCs w:val="24"/>
                <w:shd w:val="clear" w:color="auto" w:fill="FEFEFE"/>
              </w:rPr>
              <w:t xml:space="preserve">за него: </w:t>
            </w:r>
          </w:p>
          <w:p w14:paraId="426C40DF" w14:textId="2B5E7B67" w:rsidR="00021218" w:rsidRPr="007541D6" w:rsidRDefault="000F779C" w:rsidP="00F3199A">
            <w:pPr>
              <w:pStyle w:val="ListParagraph"/>
              <w:tabs>
                <w:tab w:val="left" w:pos="34"/>
              </w:tabs>
              <w:ind w:left="0" w:firstLine="626"/>
              <w:jc w:val="both"/>
              <w:rPr>
                <w:shd w:val="clear" w:color="auto" w:fill="FEFEFE"/>
              </w:rPr>
            </w:pPr>
            <w:r>
              <w:rPr>
                <w:rFonts w:ascii="Times New Roman" w:hAnsi="Times New Roman" w:cs="Times New Roman"/>
                <w:sz w:val="24"/>
                <w:szCs w:val="24"/>
                <w:shd w:val="clear" w:color="auto" w:fill="FEFEFE"/>
              </w:rPr>
              <w:t>На</w:t>
            </w:r>
            <w:r w:rsidR="00A27FDD">
              <w:rPr>
                <w:rFonts w:ascii="Times New Roman" w:hAnsi="Times New Roman" w:cs="Times New Roman"/>
                <w:sz w:val="24"/>
                <w:szCs w:val="24"/>
                <w:shd w:val="clear" w:color="auto" w:fill="FEFEFE"/>
              </w:rPr>
              <w:t xml:space="preserve"> 100% от допустимите разходи.</w:t>
            </w:r>
          </w:p>
        </w:tc>
      </w:tr>
    </w:tbl>
    <w:p w14:paraId="2D12DCB2"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highlight w:val="yellow"/>
        </w:rPr>
      </w:pPr>
    </w:p>
    <w:p w14:paraId="47A954FB" w14:textId="02FB1521" w:rsidR="003935EC" w:rsidRPr="00FB202F" w:rsidRDefault="003935EC" w:rsidP="007541D6">
      <w:pPr>
        <w:pStyle w:val="ListParagraph"/>
        <w:numPr>
          <w:ilvl w:val="0"/>
          <w:numId w:val="1"/>
        </w:numPr>
        <w:tabs>
          <w:tab w:val="left" w:pos="0"/>
          <w:tab w:val="left" w:pos="709"/>
        </w:tabs>
        <w:spacing w:after="0"/>
        <w:ind w:left="0" w:firstLine="567"/>
        <w:jc w:val="both"/>
        <w:rPr>
          <w:rFonts w:ascii="Times New Roman" w:hAnsi="Times New Roman" w:cs="Times New Roman"/>
          <w:b/>
          <w:sz w:val="24"/>
          <w:szCs w:val="24"/>
        </w:rPr>
      </w:pPr>
      <w:r w:rsidRPr="00FB202F">
        <w:rPr>
          <w:rFonts w:ascii="Times New Roman" w:hAnsi="Times New Roman" w:cs="Times New Roman"/>
          <w:b/>
          <w:sz w:val="24"/>
          <w:szCs w:val="24"/>
        </w:rPr>
        <w:t>Допустими кандидати:</w:t>
      </w:r>
    </w:p>
    <w:p w14:paraId="6E48B83C" w14:textId="1B2043CC" w:rsidR="003935EC" w:rsidRPr="00FB202F" w:rsidRDefault="003935EC" w:rsidP="007541D6">
      <w:pPr>
        <w:tabs>
          <w:tab w:val="left" w:pos="0"/>
          <w:tab w:val="left" w:pos="709"/>
        </w:tabs>
        <w:spacing w:after="0"/>
        <w:ind w:firstLine="567"/>
        <w:contextualSpacing/>
        <w:jc w:val="both"/>
        <w:rPr>
          <w:rFonts w:ascii="Times New Roman" w:hAnsi="Times New Roman" w:cs="Times New Roman"/>
          <w:b/>
          <w:sz w:val="24"/>
          <w:szCs w:val="24"/>
        </w:rPr>
      </w:pPr>
      <w:r w:rsidRPr="00FB202F">
        <w:rPr>
          <w:rFonts w:ascii="Times New Roman" w:hAnsi="Times New Roman" w:cs="Times New Roman"/>
          <w:b/>
          <w:sz w:val="24"/>
          <w:szCs w:val="24"/>
        </w:rPr>
        <w:t xml:space="preserve">11.1. </w:t>
      </w:r>
      <w:r w:rsidR="00BD59CE">
        <w:rPr>
          <w:rFonts w:ascii="Times New Roman" w:hAnsi="Times New Roman" w:cs="Times New Roman"/>
          <w:b/>
          <w:sz w:val="24"/>
          <w:szCs w:val="24"/>
        </w:rPr>
        <w:t>Условия</w:t>
      </w:r>
      <w:r w:rsidRPr="00FB202F">
        <w:rPr>
          <w:rFonts w:ascii="Times New Roman" w:hAnsi="Times New Roman" w:cs="Times New Roman"/>
          <w:b/>
          <w:sz w:val="24"/>
          <w:szCs w:val="24"/>
        </w:rPr>
        <w:t xml:space="preserve"> за допустимост на кандидатите:</w:t>
      </w:r>
    </w:p>
    <w:tbl>
      <w:tblPr>
        <w:tblStyle w:val="TableGrid"/>
        <w:tblW w:w="9923" w:type="dxa"/>
        <w:tblInd w:w="-34" w:type="dxa"/>
        <w:tblLook w:val="04A0" w:firstRow="1" w:lastRow="0" w:firstColumn="1" w:lastColumn="0" w:noHBand="0" w:noVBand="1"/>
      </w:tblPr>
      <w:tblGrid>
        <w:gridCol w:w="9923"/>
      </w:tblGrid>
      <w:tr w:rsidR="00FB202F" w:rsidRPr="00FB202F" w14:paraId="43D139C8" w14:textId="77777777" w:rsidTr="009D59DB">
        <w:tc>
          <w:tcPr>
            <w:tcW w:w="9923" w:type="dxa"/>
          </w:tcPr>
          <w:p w14:paraId="6CB2B58C" w14:textId="77C38A89" w:rsidR="00155695" w:rsidRDefault="00F563E8"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11.1.1. </w:t>
            </w:r>
            <w:r w:rsidR="003935EC" w:rsidRPr="006955EF">
              <w:rPr>
                <w:rFonts w:ascii="Times New Roman" w:hAnsi="Times New Roman" w:cs="Times New Roman"/>
                <w:sz w:val="24"/>
                <w:szCs w:val="24"/>
                <w:shd w:val="clear" w:color="auto" w:fill="FEFEFE"/>
              </w:rPr>
              <w:t>Допустим</w:t>
            </w:r>
            <w:r w:rsidR="00155695" w:rsidRPr="006955EF">
              <w:rPr>
                <w:rFonts w:ascii="Times New Roman" w:hAnsi="Times New Roman" w:cs="Times New Roman"/>
                <w:sz w:val="24"/>
                <w:szCs w:val="24"/>
                <w:shd w:val="clear" w:color="auto" w:fill="FEFEFE"/>
              </w:rPr>
              <w:t>и</w:t>
            </w:r>
            <w:r w:rsidR="003935EC" w:rsidRPr="006955EF">
              <w:rPr>
                <w:rFonts w:ascii="Times New Roman" w:hAnsi="Times New Roman" w:cs="Times New Roman"/>
                <w:sz w:val="24"/>
                <w:szCs w:val="24"/>
                <w:shd w:val="clear" w:color="auto" w:fill="FEFEFE"/>
              </w:rPr>
              <w:t xml:space="preserve"> кандидат</w:t>
            </w:r>
            <w:r w:rsidR="00155695" w:rsidRPr="006955EF">
              <w:rPr>
                <w:rFonts w:ascii="Times New Roman" w:hAnsi="Times New Roman" w:cs="Times New Roman"/>
                <w:sz w:val="24"/>
                <w:szCs w:val="24"/>
                <w:shd w:val="clear" w:color="auto" w:fill="FEFEFE"/>
              </w:rPr>
              <w:t>и</w:t>
            </w:r>
            <w:r w:rsidR="003935EC" w:rsidRPr="006955EF">
              <w:rPr>
                <w:rFonts w:ascii="Times New Roman" w:hAnsi="Times New Roman" w:cs="Times New Roman"/>
                <w:sz w:val="24"/>
                <w:szCs w:val="24"/>
                <w:shd w:val="clear" w:color="auto" w:fill="FEFEFE"/>
              </w:rPr>
              <w:t xml:space="preserve"> за предоставяне на финансова помощ за изпълнение на </w:t>
            </w:r>
            <w:r w:rsidR="000D7565" w:rsidRPr="003472F0">
              <w:rPr>
                <w:rFonts w:ascii="Times New Roman" w:hAnsi="Times New Roman" w:cs="Times New Roman"/>
                <w:sz w:val="24"/>
                <w:szCs w:val="24"/>
                <w:shd w:val="clear" w:color="auto" w:fill="FEFEFE"/>
              </w:rPr>
              <w:t>стратеги</w:t>
            </w:r>
            <w:r w:rsidR="00155695" w:rsidRPr="006660FF">
              <w:rPr>
                <w:rFonts w:ascii="Times New Roman" w:hAnsi="Times New Roman" w:cs="Times New Roman"/>
                <w:sz w:val="24"/>
                <w:szCs w:val="24"/>
                <w:shd w:val="clear" w:color="auto" w:fill="FEFEFE"/>
              </w:rPr>
              <w:t>и</w:t>
            </w:r>
            <w:r w:rsidR="000D7565" w:rsidRPr="006660FF">
              <w:rPr>
                <w:rFonts w:ascii="Times New Roman" w:hAnsi="Times New Roman" w:cs="Times New Roman"/>
                <w:sz w:val="24"/>
                <w:szCs w:val="24"/>
                <w:shd w:val="clear" w:color="auto" w:fill="FEFEFE"/>
              </w:rPr>
              <w:t xml:space="preserve"> за ВОМР </w:t>
            </w:r>
            <w:r w:rsidR="00155695" w:rsidRPr="006660FF">
              <w:rPr>
                <w:rFonts w:ascii="Times New Roman" w:hAnsi="Times New Roman" w:cs="Times New Roman"/>
                <w:sz w:val="24"/>
                <w:szCs w:val="24"/>
                <w:shd w:val="clear" w:color="auto" w:fill="FEFEFE"/>
              </w:rPr>
              <w:t>са</w:t>
            </w:r>
            <w:r w:rsidR="003935EC" w:rsidRPr="006660FF">
              <w:rPr>
                <w:rFonts w:ascii="Times New Roman" w:hAnsi="Times New Roman" w:cs="Times New Roman"/>
                <w:sz w:val="24"/>
                <w:szCs w:val="24"/>
                <w:shd w:val="clear" w:color="auto" w:fill="FEFEFE"/>
              </w:rPr>
              <w:t xml:space="preserve"> </w:t>
            </w:r>
            <w:r w:rsidR="00155695" w:rsidRPr="000842B8">
              <w:rPr>
                <w:rFonts w:ascii="Times New Roman" w:hAnsi="Times New Roman" w:cs="Times New Roman"/>
                <w:sz w:val="24"/>
                <w:szCs w:val="24"/>
                <w:shd w:val="clear" w:color="auto" w:fill="FEFEFE"/>
              </w:rPr>
              <w:t xml:space="preserve">местни инициативни групи съгласно чл. 31, параграф 2, буква б) от Регламент (ЕС) 2021/1060 с </w:t>
            </w:r>
            <w:r w:rsidR="00BA2D6E" w:rsidRPr="00D108CF">
              <w:rPr>
                <w:rFonts w:ascii="Times New Roman" w:hAnsi="Times New Roman" w:cs="Times New Roman"/>
                <w:sz w:val="24"/>
                <w:szCs w:val="24"/>
                <w:shd w:val="clear" w:color="auto" w:fill="FEFEFE"/>
              </w:rPr>
              <w:t xml:space="preserve">изготвени </w:t>
            </w:r>
            <w:r w:rsidR="00155695" w:rsidRPr="00D108CF">
              <w:rPr>
                <w:rFonts w:ascii="Times New Roman" w:hAnsi="Times New Roman" w:cs="Times New Roman"/>
                <w:sz w:val="24"/>
                <w:szCs w:val="24"/>
                <w:shd w:val="clear" w:color="auto" w:fill="FEFEFE"/>
              </w:rPr>
              <w:t>за финансиране от УО на СПРЗСР стратегии за ВОМР, за дейности по управление, мониторинг и оценка на стратегията и нейното популяризир</w:t>
            </w:r>
            <w:r w:rsidR="00155695" w:rsidRPr="00EE0376">
              <w:rPr>
                <w:rFonts w:ascii="Times New Roman" w:hAnsi="Times New Roman" w:cs="Times New Roman"/>
                <w:sz w:val="24"/>
                <w:szCs w:val="24"/>
                <w:shd w:val="clear" w:color="auto" w:fill="FEFEFE"/>
              </w:rPr>
              <w:t>ане (чл. 34, параграф 1, буква в) от Регламент (ЕС) 2021/1060)</w:t>
            </w:r>
            <w:r w:rsidR="004D562F">
              <w:rPr>
                <w:rFonts w:ascii="Times New Roman" w:hAnsi="Times New Roman" w:cs="Times New Roman"/>
                <w:sz w:val="24"/>
                <w:szCs w:val="24"/>
                <w:shd w:val="clear" w:color="auto" w:fill="FEFEFE"/>
              </w:rPr>
              <w:t xml:space="preserve"> и изпълняващи задачи съгласно чл. 33 параграф 3 от </w:t>
            </w:r>
            <w:r w:rsidR="004D562F" w:rsidRPr="00EE0376">
              <w:rPr>
                <w:rFonts w:ascii="Times New Roman" w:hAnsi="Times New Roman" w:cs="Times New Roman"/>
                <w:sz w:val="24"/>
                <w:szCs w:val="24"/>
                <w:shd w:val="clear" w:color="auto" w:fill="FEFEFE"/>
              </w:rPr>
              <w:t>Регламент (ЕС) 2021/1060</w:t>
            </w:r>
            <w:r w:rsidR="00155695" w:rsidRPr="00EE0376">
              <w:rPr>
                <w:rFonts w:ascii="Times New Roman" w:hAnsi="Times New Roman" w:cs="Times New Roman"/>
                <w:sz w:val="24"/>
                <w:szCs w:val="24"/>
                <w:shd w:val="clear" w:color="auto" w:fill="FEFEFE"/>
              </w:rPr>
              <w:t xml:space="preserve">. </w:t>
            </w:r>
            <w:r w:rsidR="004A086E" w:rsidRPr="00007027">
              <w:rPr>
                <w:rFonts w:ascii="Times New Roman" w:hAnsi="Times New Roman" w:cs="Times New Roman"/>
                <w:sz w:val="24"/>
                <w:szCs w:val="24"/>
                <w:shd w:val="clear" w:color="auto" w:fill="FEFEFE"/>
              </w:rPr>
              <w:t>Сдружени</w:t>
            </w:r>
            <w:r w:rsidR="00274EB8" w:rsidRPr="00007027">
              <w:rPr>
                <w:rFonts w:ascii="Times New Roman" w:hAnsi="Times New Roman" w:cs="Times New Roman"/>
                <w:sz w:val="24"/>
                <w:szCs w:val="24"/>
                <w:shd w:val="clear" w:color="auto" w:fill="FEFEFE"/>
              </w:rPr>
              <w:t>ята включват</w:t>
            </w:r>
            <w:r w:rsidR="004A086E" w:rsidRPr="00E85783">
              <w:rPr>
                <w:rFonts w:ascii="Times New Roman" w:hAnsi="Times New Roman" w:cs="Times New Roman"/>
                <w:sz w:val="24"/>
                <w:szCs w:val="24"/>
                <w:shd w:val="clear" w:color="auto" w:fill="FEFEFE"/>
              </w:rPr>
              <w:t xml:space="preserve"> </w:t>
            </w:r>
            <w:r w:rsidR="00274EB8" w:rsidRPr="00E85783">
              <w:rPr>
                <w:rFonts w:ascii="Times New Roman" w:hAnsi="Times New Roman" w:cs="Times New Roman"/>
                <w:sz w:val="24"/>
                <w:szCs w:val="24"/>
                <w:shd w:val="clear" w:color="auto" w:fill="FEFEFE"/>
              </w:rPr>
              <w:t xml:space="preserve">в колективните си органи </w:t>
            </w:r>
            <w:r w:rsidR="004A086E" w:rsidRPr="00E85783">
              <w:rPr>
                <w:rFonts w:ascii="Times New Roman" w:hAnsi="Times New Roman" w:cs="Times New Roman"/>
                <w:sz w:val="24"/>
                <w:szCs w:val="24"/>
                <w:shd w:val="clear" w:color="auto" w:fill="FEFEFE"/>
              </w:rPr>
              <w:t>възможно най-широк кръг от представители на различни заинтересовани страни от местната общност, идентифицирани в анализа на стратегията за ВОМР за съответната територия, включително уязвими групи и малцинства (когато е приложимо), млади хора и балансирано участие на жени и мъже</w:t>
            </w:r>
            <w:r w:rsidR="00274EB8" w:rsidRPr="006955EF">
              <w:rPr>
                <w:rFonts w:ascii="Times New Roman" w:hAnsi="Times New Roman" w:cs="Times New Roman"/>
                <w:sz w:val="24"/>
                <w:szCs w:val="24"/>
                <w:shd w:val="clear" w:color="auto" w:fill="FEFEFE"/>
              </w:rPr>
              <w:t xml:space="preserve"> от съответните територии</w:t>
            </w:r>
            <w:r w:rsidR="004A086E" w:rsidRPr="006955EF">
              <w:rPr>
                <w:rFonts w:ascii="Times New Roman" w:hAnsi="Times New Roman" w:cs="Times New Roman"/>
                <w:sz w:val="24"/>
                <w:szCs w:val="24"/>
                <w:shd w:val="clear" w:color="auto" w:fill="FEFEFE"/>
              </w:rPr>
              <w:t>.</w:t>
            </w:r>
          </w:p>
          <w:p w14:paraId="04F2482D" w14:textId="47BB44B7" w:rsidR="00B80F19" w:rsidRDefault="00B80F19" w:rsidP="007541D6">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 xml:space="preserve">Подкрепата за ВОМР/ЛИДЕР се извършва чрез подкрепа на интегрирани и многосекторни стратегии за местно развитие, основани на характеристиките на конкретната територия и разработени въз основа на местните потребности и потенциал. </w:t>
            </w:r>
          </w:p>
          <w:p w14:paraId="5EFB0785" w14:textId="1447A277" w:rsidR="004A086E" w:rsidRPr="007541D6" w:rsidRDefault="00E1373E" w:rsidP="007541D6">
            <w:pPr>
              <w:spacing w:line="276" w:lineRule="auto"/>
              <w:ind w:firstLine="567"/>
              <w:jc w:val="both"/>
              <w:rPr>
                <w:rFonts w:ascii="Times New Roman" w:hAnsi="Times New Roman" w:cs="Times New Roman"/>
                <w:sz w:val="24"/>
                <w:szCs w:val="24"/>
                <w:shd w:val="clear" w:color="auto" w:fill="FEFEFE"/>
              </w:rPr>
            </w:pPr>
            <w:r w:rsidRPr="007541D6">
              <w:rPr>
                <w:rFonts w:ascii="Times New Roman" w:hAnsi="Times New Roman" w:cs="Times New Roman"/>
                <w:sz w:val="24"/>
                <w:szCs w:val="24"/>
                <w:shd w:val="clear" w:color="auto" w:fill="FEFEFE"/>
              </w:rPr>
              <w:t>Местната инициативна група</w:t>
            </w:r>
            <w:r w:rsidR="004A086E" w:rsidRPr="007541D6">
              <w:rPr>
                <w:rFonts w:ascii="Times New Roman" w:hAnsi="Times New Roman" w:cs="Times New Roman"/>
                <w:sz w:val="24"/>
                <w:szCs w:val="24"/>
                <w:shd w:val="clear" w:color="auto" w:fill="FEFEFE"/>
              </w:rPr>
              <w:t xml:space="preserve">: </w:t>
            </w:r>
          </w:p>
          <w:p w14:paraId="3DB6E820" w14:textId="03B9CBB5" w:rsidR="004A086E" w:rsidRPr="006660FF" w:rsidRDefault="00CE468F" w:rsidP="00044F85">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11.1.1.</w:t>
            </w:r>
            <w:r w:rsidR="00BC3DE1">
              <w:rPr>
                <w:rFonts w:ascii="Times New Roman" w:hAnsi="Times New Roman" w:cs="Times New Roman"/>
                <w:sz w:val="24"/>
                <w:szCs w:val="24"/>
                <w:shd w:val="clear" w:color="auto" w:fill="FEFEFE"/>
              </w:rPr>
              <w:t>1.</w:t>
            </w:r>
            <w:r w:rsidR="00F54B76" w:rsidRPr="006955EF">
              <w:rPr>
                <w:rFonts w:ascii="Times New Roman" w:hAnsi="Times New Roman" w:cs="Times New Roman"/>
                <w:sz w:val="24"/>
                <w:szCs w:val="24"/>
                <w:shd w:val="clear" w:color="auto" w:fill="FEFEFE"/>
              </w:rPr>
              <w:t xml:space="preserve"> </w:t>
            </w:r>
            <w:r w:rsidR="004A086E" w:rsidRPr="006955EF">
              <w:rPr>
                <w:rFonts w:ascii="Times New Roman" w:hAnsi="Times New Roman" w:cs="Times New Roman"/>
                <w:sz w:val="24"/>
                <w:szCs w:val="24"/>
                <w:shd w:val="clear" w:color="auto" w:fill="FEFEFE"/>
              </w:rPr>
              <w:t xml:space="preserve">е </w:t>
            </w:r>
            <w:r w:rsidR="00E1373E" w:rsidRPr="006955EF">
              <w:rPr>
                <w:rFonts w:ascii="Times New Roman" w:hAnsi="Times New Roman" w:cs="Times New Roman"/>
                <w:sz w:val="24"/>
                <w:szCs w:val="24"/>
                <w:shd w:val="clear" w:color="auto" w:fill="FEFEFE"/>
              </w:rPr>
              <w:t xml:space="preserve">юридическо лице с нестопанска цел за осъществяване на общественополезна дейност, регистрирано като сдружение по Закона за юридическите лица с нестопанска цел (ЗЮЛНЦ), което представлява публично-частно партньорство с представители на </w:t>
            </w:r>
            <w:r w:rsidR="00E1373E" w:rsidRPr="006660FF">
              <w:rPr>
                <w:rFonts w:ascii="Times New Roman" w:hAnsi="Times New Roman" w:cs="Times New Roman"/>
                <w:sz w:val="24"/>
                <w:szCs w:val="24"/>
                <w:shd w:val="clear" w:color="auto" w:fill="FEFEFE"/>
              </w:rPr>
              <w:t>широк кръг заинтересовани лица</w:t>
            </w:r>
            <w:r w:rsidR="006660FF">
              <w:rPr>
                <w:rFonts w:ascii="Times New Roman" w:hAnsi="Times New Roman" w:cs="Times New Roman"/>
                <w:sz w:val="24"/>
                <w:szCs w:val="24"/>
                <w:shd w:val="clear" w:color="auto" w:fill="FEFEFE"/>
              </w:rPr>
              <w:t>,</w:t>
            </w:r>
            <w:r w:rsidR="00E1373E" w:rsidRPr="006660FF">
              <w:rPr>
                <w:rFonts w:ascii="Times New Roman" w:hAnsi="Times New Roman" w:cs="Times New Roman"/>
                <w:sz w:val="24"/>
                <w:szCs w:val="24"/>
                <w:shd w:val="clear" w:color="auto" w:fill="FEFEFE"/>
              </w:rPr>
              <w:t xml:space="preserve"> </w:t>
            </w:r>
            <w:r w:rsidR="006660FF" w:rsidRPr="006660FF">
              <w:rPr>
                <w:rFonts w:ascii="Times New Roman" w:hAnsi="Times New Roman" w:cs="Times New Roman"/>
                <w:sz w:val="24"/>
                <w:szCs w:val="24"/>
                <w:shd w:val="clear" w:color="auto" w:fill="FEFEFE"/>
              </w:rPr>
              <w:t>вкл. уязвими групи и малцинства, в т. ч. роми (когато е приложимо)</w:t>
            </w:r>
            <w:r w:rsidR="006660FF">
              <w:rPr>
                <w:rFonts w:ascii="Times New Roman" w:hAnsi="Times New Roman" w:cs="Times New Roman"/>
                <w:sz w:val="24"/>
                <w:szCs w:val="24"/>
                <w:shd w:val="clear" w:color="auto" w:fill="FEFEFE"/>
              </w:rPr>
              <w:t xml:space="preserve"> и др. </w:t>
            </w:r>
            <w:r w:rsidR="00E1373E" w:rsidRPr="006660FF">
              <w:rPr>
                <w:rFonts w:ascii="Times New Roman" w:hAnsi="Times New Roman" w:cs="Times New Roman"/>
                <w:sz w:val="24"/>
                <w:szCs w:val="24"/>
                <w:shd w:val="clear" w:color="auto" w:fill="FEFEFE"/>
              </w:rPr>
              <w:t>от територията на неговото действие</w:t>
            </w:r>
            <w:r w:rsidR="005C6894" w:rsidRPr="006660FF">
              <w:rPr>
                <w:rFonts w:ascii="Times New Roman" w:hAnsi="Times New Roman" w:cs="Times New Roman"/>
                <w:sz w:val="24"/>
                <w:szCs w:val="24"/>
                <w:shd w:val="clear" w:color="auto" w:fill="FEFEFE"/>
              </w:rPr>
              <w:t>;</w:t>
            </w:r>
          </w:p>
          <w:p w14:paraId="6D778337" w14:textId="09C8935B" w:rsidR="005C6894" w:rsidRPr="006660FF" w:rsidRDefault="00CE468F" w:rsidP="007541D6">
            <w:pPr>
              <w:spacing w:line="276" w:lineRule="auto"/>
              <w:ind w:firstLine="567"/>
              <w:jc w:val="both"/>
              <w:rPr>
                <w:rFonts w:ascii="Times New Roman" w:hAnsi="Times New Roman" w:cs="Times New Roman"/>
                <w:sz w:val="24"/>
                <w:szCs w:val="24"/>
                <w:shd w:val="clear" w:color="auto" w:fill="FEFEFE"/>
              </w:rPr>
            </w:pPr>
            <w:r w:rsidRPr="006660FF">
              <w:rPr>
                <w:rFonts w:ascii="Times New Roman" w:hAnsi="Times New Roman" w:cs="Times New Roman"/>
                <w:sz w:val="24"/>
                <w:szCs w:val="24"/>
                <w:shd w:val="clear" w:color="auto" w:fill="FEFEFE"/>
              </w:rPr>
              <w:t>11.1.</w:t>
            </w:r>
            <w:r w:rsidR="00BC3DE1">
              <w:rPr>
                <w:rFonts w:ascii="Times New Roman" w:hAnsi="Times New Roman" w:cs="Times New Roman"/>
                <w:sz w:val="24"/>
                <w:szCs w:val="24"/>
                <w:shd w:val="clear" w:color="auto" w:fill="FEFEFE"/>
              </w:rPr>
              <w:t>1.</w:t>
            </w:r>
            <w:r w:rsidRPr="006660FF">
              <w:rPr>
                <w:rFonts w:ascii="Times New Roman" w:hAnsi="Times New Roman" w:cs="Times New Roman"/>
                <w:sz w:val="24"/>
                <w:szCs w:val="24"/>
                <w:shd w:val="clear" w:color="auto" w:fill="FEFEFE"/>
              </w:rPr>
              <w:t xml:space="preserve">2. </w:t>
            </w:r>
            <w:r w:rsidR="00E1373E" w:rsidRPr="006660FF">
              <w:rPr>
                <w:rFonts w:ascii="Times New Roman" w:hAnsi="Times New Roman" w:cs="Times New Roman"/>
                <w:sz w:val="24"/>
                <w:szCs w:val="24"/>
                <w:shd w:val="clear" w:color="auto" w:fill="FEFEFE"/>
              </w:rPr>
              <w:t>съдържа в наименованието си обозначението „Местна инициативна група“, или съкратено „МИГ“, както и наименованието/ията на общината/ите на територията на действие на сдружението</w:t>
            </w:r>
            <w:r w:rsidR="005C6894" w:rsidRPr="006660FF">
              <w:rPr>
                <w:rFonts w:ascii="Times New Roman" w:hAnsi="Times New Roman" w:cs="Times New Roman"/>
                <w:sz w:val="24"/>
                <w:szCs w:val="24"/>
                <w:shd w:val="clear" w:color="auto" w:fill="FEFEFE"/>
              </w:rPr>
              <w:t>;</w:t>
            </w:r>
          </w:p>
          <w:p w14:paraId="70D80AC8" w14:textId="7F43DEE8" w:rsidR="00AC30ED" w:rsidRPr="00AC30ED" w:rsidRDefault="005C6894" w:rsidP="002F1854">
            <w:pPr>
              <w:spacing w:line="276" w:lineRule="auto"/>
              <w:ind w:firstLine="567"/>
              <w:jc w:val="both"/>
              <w:rPr>
                <w:rFonts w:ascii="Times New Roman" w:hAnsi="Times New Roman" w:cs="Times New Roman"/>
                <w:sz w:val="24"/>
                <w:szCs w:val="24"/>
                <w:shd w:val="clear" w:color="auto" w:fill="FEFEFE"/>
              </w:rPr>
            </w:pPr>
            <w:r w:rsidRPr="006660FF">
              <w:rPr>
                <w:rFonts w:ascii="Times New Roman" w:hAnsi="Times New Roman" w:cs="Times New Roman"/>
                <w:sz w:val="24"/>
                <w:szCs w:val="24"/>
                <w:shd w:val="clear" w:color="auto" w:fill="FEFEFE"/>
              </w:rPr>
              <w:t>11.1.</w:t>
            </w:r>
            <w:r w:rsidR="00BC3DE1">
              <w:rPr>
                <w:rFonts w:ascii="Times New Roman" w:hAnsi="Times New Roman" w:cs="Times New Roman"/>
                <w:sz w:val="24"/>
                <w:szCs w:val="24"/>
                <w:shd w:val="clear" w:color="auto" w:fill="FEFEFE"/>
              </w:rPr>
              <w:t>1.</w:t>
            </w:r>
            <w:r w:rsidRPr="006660FF">
              <w:rPr>
                <w:rFonts w:ascii="Times New Roman" w:hAnsi="Times New Roman" w:cs="Times New Roman"/>
                <w:sz w:val="24"/>
                <w:szCs w:val="24"/>
                <w:shd w:val="clear" w:color="auto" w:fill="FEFEFE"/>
              </w:rPr>
              <w:t xml:space="preserve">3. </w:t>
            </w:r>
            <w:r w:rsidR="00E1373E" w:rsidRPr="0060581B">
              <w:rPr>
                <w:rFonts w:ascii="Times New Roman" w:hAnsi="Times New Roman" w:cs="Times New Roman"/>
                <w:sz w:val="24"/>
                <w:szCs w:val="24"/>
                <w:shd w:val="clear" w:color="auto" w:fill="FEFEFE"/>
              </w:rPr>
              <w:t>има седалище и адрес на управление в селския район в рамките на територията, на която осъществява дейността си</w:t>
            </w:r>
            <w:r w:rsidR="00AC30ED">
              <w:rPr>
                <w:rFonts w:ascii="Times New Roman" w:hAnsi="Times New Roman" w:cs="Times New Roman"/>
                <w:sz w:val="24"/>
                <w:szCs w:val="24"/>
                <w:shd w:val="clear" w:color="auto" w:fill="FEFEFE"/>
              </w:rPr>
              <w:t xml:space="preserve">. </w:t>
            </w:r>
          </w:p>
          <w:p w14:paraId="58490192" w14:textId="356FE1CC" w:rsidR="00E1373E" w:rsidRPr="0060581B" w:rsidRDefault="005C6894" w:rsidP="007541D6">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11.1.</w:t>
            </w:r>
            <w:r w:rsidR="00BC3DE1">
              <w:rPr>
                <w:rFonts w:ascii="Times New Roman" w:hAnsi="Times New Roman" w:cs="Times New Roman"/>
                <w:sz w:val="24"/>
                <w:szCs w:val="24"/>
                <w:shd w:val="clear" w:color="auto" w:fill="FEFEFE"/>
              </w:rPr>
              <w:t>1.</w:t>
            </w:r>
            <w:r w:rsidRPr="006955EF">
              <w:rPr>
                <w:rFonts w:ascii="Times New Roman" w:hAnsi="Times New Roman" w:cs="Times New Roman"/>
                <w:sz w:val="24"/>
                <w:szCs w:val="24"/>
                <w:shd w:val="clear" w:color="auto" w:fill="FEFEFE"/>
              </w:rPr>
              <w:t xml:space="preserve">4. </w:t>
            </w:r>
            <w:r w:rsidR="004A086E" w:rsidRPr="0060581B">
              <w:rPr>
                <w:rFonts w:ascii="Times New Roman" w:hAnsi="Times New Roman" w:cs="Times New Roman"/>
                <w:sz w:val="24"/>
                <w:szCs w:val="24"/>
                <w:shd w:val="clear" w:color="auto" w:fill="FEFEFE"/>
              </w:rPr>
              <w:t xml:space="preserve">има </w:t>
            </w:r>
            <w:r w:rsidR="00E10BCA" w:rsidRPr="0060581B">
              <w:rPr>
                <w:rFonts w:ascii="Times New Roman" w:hAnsi="Times New Roman" w:cs="Times New Roman"/>
                <w:sz w:val="24"/>
                <w:szCs w:val="24"/>
                <w:shd w:val="clear" w:color="auto" w:fill="FEFEFE"/>
              </w:rPr>
              <w:t>к</w:t>
            </w:r>
            <w:r w:rsidR="00E1373E" w:rsidRPr="0060581B">
              <w:rPr>
                <w:rFonts w:ascii="Times New Roman" w:hAnsi="Times New Roman" w:cs="Times New Roman"/>
                <w:sz w:val="24"/>
                <w:szCs w:val="24"/>
                <w:shd w:val="clear" w:color="auto" w:fill="FEFEFE"/>
              </w:rPr>
              <w:t>олективен върховен орган (Общо събрание), в който задължително членуват общината/ите от територията на действие на МИГ</w:t>
            </w:r>
            <w:r w:rsidR="009D277A">
              <w:rPr>
                <w:rFonts w:ascii="Times New Roman" w:hAnsi="Times New Roman" w:cs="Times New Roman"/>
                <w:sz w:val="24"/>
                <w:szCs w:val="24"/>
                <w:shd w:val="clear" w:color="auto" w:fill="FEFEFE"/>
              </w:rPr>
              <w:t xml:space="preserve"> и представители на най-малко 30 на сто от идентифицираните в проучванията и анализите на територията на МИГ заинтересовани страни</w:t>
            </w:r>
            <w:r w:rsidR="00E1373E" w:rsidRPr="0060581B">
              <w:rPr>
                <w:rFonts w:ascii="Times New Roman" w:hAnsi="Times New Roman" w:cs="Times New Roman"/>
                <w:sz w:val="24"/>
                <w:szCs w:val="24"/>
                <w:shd w:val="clear" w:color="auto" w:fill="FEFEFE"/>
              </w:rPr>
              <w:t xml:space="preserve">. </w:t>
            </w:r>
            <w:r w:rsidR="004A086E" w:rsidRPr="0060581B">
              <w:rPr>
                <w:rFonts w:ascii="Times New Roman" w:hAnsi="Times New Roman" w:cs="Times New Roman"/>
                <w:sz w:val="24"/>
                <w:szCs w:val="24"/>
                <w:shd w:val="clear" w:color="auto" w:fill="FEFEFE"/>
              </w:rPr>
              <w:t xml:space="preserve">Членството в колективния върховен орган на МИГ е доброволно и се осъществява по правилата, утвърдени в Устава на сдружението. </w:t>
            </w:r>
            <w:r w:rsidR="00E1373E" w:rsidRPr="0060581B">
              <w:rPr>
                <w:rFonts w:ascii="Times New Roman" w:hAnsi="Times New Roman" w:cs="Times New Roman"/>
                <w:sz w:val="24"/>
                <w:szCs w:val="24"/>
                <w:shd w:val="clear" w:color="auto" w:fill="FEFEFE"/>
              </w:rPr>
              <w:t xml:space="preserve">Членове на </w:t>
            </w:r>
            <w:r w:rsidR="00E10BCA" w:rsidRPr="0060581B">
              <w:rPr>
                <w:rFonts w:ascii="Times New Roman" w:hAnsi="Times New Roman" w:cs="Times New Roman"/>
                <w:sz w:val="24"/>
                <w:szCs w:val="24"/>
                <w:shd w:val="clear" w:color="auto" w:fill="FEFEFE"/>
              </w:rPr>
              <w:t>к</w:t>
            </w:r>
            <w:r w:rsidR="00E1373E" w:rsidRPr="0060581B">
              <w:rPr>
                <w:rFonts w:ascii="Times New Roman" w:hAnsi="Times New Roman" w:cs="Times New Roman"/>
                <w:sz w:val="24"/>
                <w:szCs w:val="24"/>
                <w:shd w:val="clear" w:color="auto" w:fill="FEFEFE"/>
              </w:rPr>
              <w:t>олективния върховен орган са:</w:t>
            </w:r>
          </w:p>
          <w:p w14:paraId="03CE1D34" w14:textId="0E4FFB88" w:rsidR="00E1373E" w:rsidRPr="006955EF" w:rsidRDefault="00CE468F" w:rsidP="00044F85">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w:t>
            </w:r>
            <w:r w:rsidR="00E1373E" w:rsidRPr="006955EF">
              <w:rPr>
                <w:rFonts w:ascii="Times New Roman" w:hAnsi="Times New Roman" w:cs="Times New Roman"/>
                <w:sz w:val="24"/>
                <w:szCs w:val="24"/>
                <w:shd w:val="clear" w:color="auto" w:fill="FEFEFE"/>
              </w:rPr>
              <w:t xml:space="preserve"> физически лица, които са с постоянен адрес и/или работят на територията на действие на МИГ;</w:t>
            </w:r>
          </w:p>
          <w:p w14:paraId="58C40C33" w14:textId="77777777" w:rsidR="00227E03" w:rsidRPr="00227E03" w:rsidRDefault="00CE468F" w:rsidP="00227E03">
            <w:pPr>
              <w:spacing w:line="276" w:lineRule="auto"/>
              <w:ind w:firstLine="567"/>
              <w:jc w:val="both"/>
              <w:rPr>
                <w:rFonts w:ascii="Times New Roman" w:hAnsi="Times New Roman" w:cs="Times New Roman"/>
                <w:sz w:val="24"/>
                <w:szCs w:val="24"/>
                <w:shd w:val="clear" w:color="auto" w:fill="FEFEFE"/>
              </w:rPr>
            </w:pPr>
            <w:r w:rsidRPr="006660FF">
              <w:rPr>
                <w:rFonts w:ascii="Times New Roman" w:hAnsi="Times New Roman" w:cs="Times New Roman"/>
                <w:sz w:val="24"/>
                <w:szCs w:val="24"/>
                <w:shd w:val="clear" w:color="auto" w:fill="FEFEFE"/>
              </w:rPr>
              <w:t>-</w:t>
            </w:r>
            <w:r w:rsidR="00E1373E" w:rsidRPr="006660FF">
              <w:rPr>
                <w:rFonts w:ascii="Times New Roman" w:hAnsi="Times New Roman" w:cs="Times New Roman"/>
                <w:sz w:val="24"/>
                <w:szCs w:val="24"/>
                <w:shd w:val="clear" w:color="auto" w:fill="FEFEFE"/>
              </w:rPr>
              <w:t xml:space="preserve"> юридически лица със седалище и адрес на управление на територията на действие на МИГ</w:t>
            </w:r>
            <w:r w:rsidR="00227E03">
              <w:rPr>
                <w:rFonts w:ascii="Times New Roman" w:hAnsi="Times New Roman" w:cs="Times New Roman"/>
                <w:sz w:val="24"/>
                <w:szCs w:val="24"/>
                <w:shd w:val="clear" w:color="auto" w:fill="FEFEFE"/>
              </w:rPr>
              <w:t xml:space="preserve">. </w:t>
            </w:r>
            <w:r w:rsidR="00227E03" w:rsidRPr="00227E03">
              <w:rPr>
                <w:rFonts w:ascii="Times New Roman" w:hAnsi="Times New Roman" w:cs="Times New Roman"/>
                <w:sz w:val="24"/>
                <w:szCs w:val="24"/>
                <w:shd w:val="clear" w:color="auto" w:fill="FEFEFE"/>
              </w:rPr>
              <w:t xml:space="preserve">Изискването не се отнася за: </w:t>
            </w:r>
          </w:p>
          <w:p w14:paraId="7414D951" w14:textId="77777777" w:rsidR="00227E03" w:rsidRPr="00227E03" w:rsidRDefault="00227E03" w:rsidP="00227E03">
            <w:pPr>
              <w:numPr>
                <w:ilvl w:val="0"/>
                <w:numId w:val="9"/>
              </w:numPr>
              <w:tabs>
                <w:tab w:val="left" w:pos="1115"/>
              </w:tabs>
              <w:spacing w:line="276" w:lineRule="auto"/>
              <w:ind w:hanging="88"/>
              <w:jc w:val="both"/>
              <w:rPr>
                <w:rFonts w:ascii="Times New Roman" w:hAnsi="Times New Roman" w:cs="Times New Roman"/>
                <w:sz w:val="24"/>
                <w:szCs w:val="24"/>
                <w:shd w:val="clear" w:color="auto" w:fill="FEFEFE"/>
              </w:rPr>
            </w:pPr>
            <w:r w:rsidRPr="00227E03">
              <w:rPr>
                <w:rFonts w:ascii="Times New Roman" w:hAnsi="Times New Roman" w:cs="Times New Roman"/>
                <w:sz w:val="24"/>
                <w:szCs w:val="24"/>
                <w:shd w:val="clear" w:color="auto" w:fill="FEFEFE"/>
              </w:rPr>
              <w:t>общините в обхвата на селските райони на Република България, които имат седалище в съответния областен град (Тунджа, Марица, Родопи и Добричка);</w:t>
            </w:r>
          </w:p>
          <w:p w14:paraId="1542FB3B" w14:textId="3B056776" w:rsidR="00E1373E" w:rsidRPr="00227E03" w:rsidRDefault="00227E03" w:rsidP="002F1854">
            <w:pPr>
              <w:numPr>
                <w:ilvl w:val="0"/>
                <w:numId w:val="9"/>
              </w:numPr>
              <w:tabs>
                <w:tab w:val="left" w:pos="1115"/>
              </w:tabs>
              <w:spacing w:line="276" w:lineRule="auto"/>
              <w:ind w:hanging="88"/>
              <w:jc w:val="both"/>
              <w:rPr>
                <w:rFonts w:ascii="Times New Roman" w:hAnsi="Times New Roman" w:cs="Times New Roman"/>
                <w:sz w:val="24"/>
                <w:szCs w:val="24"/>
                <w:shd w:val="clear" w:color="auto" w:fill="FEFEFE"/>
              </w:rPr>
            </w:pPr>
            <w:r w:rsidRPr="00495608">
              <w:rPr>
                <w:rFonts w:ascii="Times New Roman" w:hAnsi="Times New Roman" w:cs="Times New Roman"/>
                <w:sz w:val="24"/>
                <w:szCs w:val="24"/>
                <w:shd w:val="clear" w:color="auto" w:fill="FEFEFE"/>
              </w:rPr>
              <w:lastRenderedPageBreak/>
              <w:t>общините, които участват в МИГ с населени места без общинския център – град</w:t>
            </w:r>
            <w:r w:rsidRPr="001034C2">
              <w:rPr>
                <w:rFonts w:ascii="Times New Roman" w:hAnsi="Times New Roman" w:cs="Times New Roman"/>
                <w:sz w:val="24"/>
                <w:szCs w:val="24"/>
                <w:shd w:val="clear" w:color="auto" w:fill="FEFEFE"/>
              </w:rPr>
              <w:t xml:space="preserve"> с население над 30 000 жители</w:t>
            </w:r>
            <w:r w:rsidR="00E1373E" w:rsidRPr="00227E03">
              <w:rPr>
                <w:rFonts w:ascii="Times New Roman" w:hAnsi="Times New Roman" w:cs="Times New Roman"/>
                <w:sz w:val="24"/>
                <w:szCs w:val="24"/>
                <w:shd w:val="clear" w:color="auto" w:fill="FEFEFE"/>
              </w:rPr>
              <w:t>;</w:t>
            </w:r>
          </w:p>
          <w:p w14:paraId="45ACC7C5" w14:textId="600C1BD4" w:rsidR="00E1373E" w:rsidRPr="00E85783" w:rsidRDefault="00CE468F" w:rsidP="007541D6">
            <w:pPr>
              <w:spacing w:line="276" w:lineRule="auto"/>
              <w:ind w:firstLine="567"/>
              <w:jc w:val="both"/>
              <w:rPr>
                <w:rFonts w:ascii="Times New Roman" w:hAnsi="Times New Roman" w:cs="Times New Roman"/>
                <w:sz w:val="24"/>
                <w:szCs w:val="24"/>
                <w:shd w:val="clear" w:color="auto" w:fill="FEFEFE"/>
              </w:rPr>
            </w:pPr>
            <w:r w:rsidRPr="00007027">
              <w:rPr>
                <w:rFonts w:ascii="Times New Roman" w:hAnsi="Times New Roman" w:cs="Times New Roman"/>
                <w:sz w:val="24"/>
                <w:szCs w:val="24"/>
                <w:shd w:val="clear" w:color="auto" w:fill="FEFEFE"/>
              </w:rPr>
              <w:t>-</w:t>
            </w:r>
            <w:r w:rsidR="00E1373E" w:rsidRPr="00007027">
              <w:rPr>
                <w:rFonts w:ascii="Times New Roman" w:hAnsi="Times New Roman" w:cs="Times New Roman"/>
                <w:sz w:val="24"/>
                <w:szCs w:val="24"/>
                <w:shd w:val="clear" w:color="auto" w:fill="FEFEFE"/>
              </w:rPr>
              <w:t xml:space="preserve"> клонове на юридически лица, ако клонът е регистриран на територията на действие на МИГ най-малко 5 години преди подаване на формуляра за одобрение на стратегия за ВОМР.</w:t>
            </w:r>
          </w:p>
          <w:p w14:paraId="2EC5FDDE" w14:textId="20360C67" w:rsidR="00E10BCA" w:rsidRPr="0060581B" w:rsidRDefault="005C6894" w:rsidP="007541D6">
            <w:pPr>
              <w:spacing w:line="276" w:lineRule="auto"/>
              <w:ind w:firstLine="567"/>
              <w:jc w:val="both"/>
              <w:rPr>
                <w:rFonts w:ascii="Times New Roman" w:hAnsi="Times New Roman" w:cs="Times New Roman"/>
                <w:sz w:val="24"/>
                <w:szCs w:val="24"/>
                <w:shd w:val="clear" w:color="auto" w:fill="FEFEFE"/>
              </w:rPr>
            </w:pPr>
            <w:r w:rsidRPr="00E85783">
              <w:rPr>
                <w:rFonts w:ascii="Times New Roman" w:hAnsi="Times New Roman" w:cs="Times New Roman"/>
                <w:sz w:val="24"/>
                <w:szCs w:val="24"/>
                <w:shd w:val="clear" w:color="auto" w:fill="FEFEFE"/>
              </w:rPr>
              <w:t>11.1.</w:t>
            </w:r>
            <w:r w:rsidR="00BC3DE1">
              <w:rPr>
                <w:rFonts w:ascii="Times New Roman" w:hAnsi="Times New Roman" w:cs="Times New Roman"/>
                <w:sz w:val="24"/>
                <w:szCs w:val="24"/>
                <w:shd w:val="clear" w:color="auto" w:fill="FEFEFE"/>
              </w:rPr>
              <w:t>1.</w:t>
            </w:r>
            <w:r w:rsidRPr="00E85783">
              <w:rPr>
                <w:rFonts w:ascii="Times New Roman" w:hAnsi="Times New Roman" w:cs="Times New Roman"/>
                <w:sz w:val="24"/>
                <w:szCs w:val="24"/>
                <w:shd w:val="clear" w:color="auto" w:fill="FEFEFE"/>
              </w:rPr>
              <w:t xml:space="preserve">5. </w:t>
            </w:r>
            <w:r w:rsidR="004A086E" w:rsidRPr="0060581B">
              <w:rPr>
                <w:rFonts w:ascii="Times New Roman" w:hAnsi="Times New Roman" w:cs="Times New Roman"/>
                <w:sz w:val="24"/>
                <w:szCs w:val="24"/>
                <w:shd w:val="clear" w:color="auto" w:fill="FEFEFE"/>
              </w:rPr>
              <w:t xml:space="preserve">има </w:t>
            </w:r>
            <w:r w:rsidR="00E10BCA" w:rsidRPr="0060581B">
              <w:rPr>
                <w:rFonts w:ascii="Times New Roman" w:hAnsi="Times New Roman" w:cs="Times New Roman"/>
                <w:sz w:val="24"/>
                <w:szCs w:val="24"/>
                <w:shd w:val="clear" w:color="auto" w:fill="FEFEFE"/>
              </w:rPr>
              <w:t xml:space="preserve">колективен управителен орган </w:t>
            </w:r>
            <w:r w:rsidR="00E85783">
              <w:rPr>
                <w:rFonts w:ascii="Times New Roman" w:hAnsi="Times New Roman" w:cs="Times New Roman"/>
                <w:sz w:val="24"/>
                <w:szCs w:val="24"/>
                <w:shd w:val="clear" w:color="auto" w:fill="FEFEFE"/>
                <w:lang w:val="en-US"/>
              </w:rPr>
              <w:t>(</w:t>
            </w:r>
            <w:r w:rsidR="00E85783">
              <w:rPr>
                <w:rFonts w:ascii="Times New Roman" w:hAnsi="Times New Roman" w:cs="Times New Roman"/>
                <w:sz w:val="24"/>
                <w:szCs w:val="24"/>
                <w:shd w:val="clear" w:color="auto" w:fill="FEFEFE"/>
              </w:rPr>
              <w:t>Управителен съвет</w:t>
            </w:r>
            <w:r w:rsidR="00E85783">
              <w:rPr>
                <w:rFonts w:ascii="Times New Roman" w:hAnsi="Times New Roman" w:cs="Times New Roman"/>
                <w:sz w:val="24"/>
                <w:szCs w:val="24"/>
                <w:shd w:val="clear" w:color="auto" w:fill="FEFEFE"/>
                <w:lang w:val="en-US"/>
              </w:rPr>
              <w:t xml:space="preserve">) </w:t>
            </w:r>
            <w:r w:rsidR="00E10BCA" w:rsidRPr="0060581B">
              <w:rPr>
                <w:rFonts w:ascii="Times New Roman" w:hAnsi="Times New Roman" w:cs="Times New Roman"/>
                <w:sz w:val="24"/>
                <w:szCs w:val="24"/>
                <w:shd w:val="clear" w:color="auto" w:fill="FEFEFE"/>
              </w:rPr>
              <w:t>в състав не по-малко от 5 лица, които имат постоянен адрес и/или работят на територията на действие на МИГ, когато са физически лица, или имат седалище и адрес на управление на територията на действие на МИГ, когато са юридически лица;</w:t>
            </w:r>
          </w:p>
          <w:p w14:paraId="4F148AE4" w14:textId="54869539" w:rsidR="00EE34A5" w:rsidRPr="0060581B" w:rsidRDefault="005C6894" w:rsidP="007541D6">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11.1.</w:t>
            </w:r>
            <w:r w:rsidR="00BC3DE1">
              <w:rPr>
                <w:rFonts w:ascii="Times New Roman" w:hAnsi="Times New Roman" w:cs="Times New Roman"/>
                <w:sz w:val="24"/>
                <w:szCs w:val="24"/>
                <w:shd w:val="clear" w:color="auto" w:fill="FEFEFE"/>
              </w:rPr>
              <w:t>1.</w:t>
            </w:r>
            <w:r w:rsidRPr="006955EF">
              <w:rPr>
                <w:rFonts w:ascii="Times New Roman" w:hAnsi="Times New Roman" w:cs="Times New Roman"/>
                <w:sz w:val="24"/>
                <w:szCs w:val="24"/>
                <w:shd w:val="clear" w:color="auto" w:fill="FEFEFE"/>
              </w:rPr>
              <w:t xml:space="preserve">6. </w:t>
            </w:r>
            <w:r w:rsidR="004A086E" w:rsidRPr="0060581B">
              <w:rPr>
                <w:rFonts w:ascii="Times New Roman" w:hAnsi="Times New Roman" w:cs="Times New Roman"/>
                <w:sz w:val="24"/>
                <w:szCs w:val="24"/>
                <w:shd w:val="clear" w:color="auto" w:fill="FEFEFE"/>
              </w:rPr>
              <w:t>има</w:t>
            </w:r>
            <w:r w:rsidR="00EE34A5" w:rsidRPr="0060581B">
              <w:rPr>
                <w:rFonts w:ascii="Times New Roman" w:hAnsi="Times New Roman" w:cs="Times New Roman"/>
                <w:sz w:val="24"/>
                <w:szCs w:val="24"/>
                <w:shd w:val="clear" w:color="auto" w:fill="FEFEFE"/>
              </w:rPr>
              <w:t xml:space="preserve"> 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 непревишаващ 49 на сто от имащите право на глас съгласно чл. 28, ал. 1 от Закона за юридическите лица с нестопанска цел;</w:t>
            </w:r>
          </w:p>
          <w:p w14:paraId="3784D129" w14:textId="4A178253" w:rsidR="00EE34A5" w:rsidRPr="0060581B" w:rsidRDefault="005C6894" w:rsidP="007541D6">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11.1.</w:t>
            </w:r>
            <w:r w:rsidR="00BC3DE1">
              <w:rPr>
                <w:rFonts w:ascii="Times New Roman" w:hAnsi="Times New Roman" w:cs="Times New Roman"/>
                <w:sz w:val="24"/>
                <w:szCs w:val="24"/>
                <w:shd w:val="clear" w:color="auto" w:fill="FEFEFE"/>
              </w:rPr>
              <w:t>1.</w:t>
            </w:r>
            <w:r w:rsidRPr="006955EF">
              <w:rPr>
                <w:rFonts w:ascii="Times New Roman" w:hAnsi="Times New Roman" w:cs="Times New Roman"/>
                <w:sz w:val="24"/>
                <w:szCs w:val="24"/>
                <w:shd w:val="clear" w:color="auto" w:fill="FEFEFE"/>
              </w:rPr>
              <w:t xml:space="preserve">7. </w:t>
            </w:r>
            <w:r w:rsidR="00EE34A5" w:rsidRPr="0060581B">
              <w:rPr>
                <w:rFonts w:ascii="Times New Roman" w:hAnsi="Times New Roman" w:cs="Times New Roman"/>
                <w:sz w:val="24"/>
                <w:szCs w:val="24"/>
                <w:shd w:val="clear" w:color="auto" w:fill="FEFEFE"/>
              </w:rPr>
              <w:t>вземането на решения не е контролирано от нито една от групите, представляващи конкретните заинтересовани страни</w:t>
            </w:r>
            <w:r w:rsidR="00E119D3" w:rsidRPr="0060581B">
              <w:rPr>
                <w:rFonts w:ascii="Times New Roman" w:hAnsi="Times New Roman" w:cs="Times New Roman"/>
                <w:sz w:val="24"/>
                <w:szCs w:val="24"/>
                <w:shd w:val="clear" w:color="auto" w:fill="FEFEFE"/>
              </w:rPr>
              <w:t>, идентифицирани в стратегията за ВОМР;</w:t>
            </w:r>
          </w:p>
          <w:p w14:paraId="42200EC4" w14:textId="651E563D" w:rsidR="00130FD8" w:rsidRPr="0060581B" w:rsidRDefault="005C6894" w:rsidP="007541D6">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11.1.</w:t>
            </w:r>
            <w:r w:rsidR="00BC3DE1">
              <w:rPr>
                <w:rFonts w:ascii="Times New Roman" w:hAnsi="Times New Roman" w:cs="Times New Roman"/>
                <w:sz w:val="24"/>
                <w:szCs w:val="24"/>
                <w:shd w:val="clear" w:color="auto" w:fill="FEFEFE"/>
              </w:rPr>
              <w:t>1.</w:t>
            </w:r>
            <w:r w:rsidRPr="006955EF">
              <w:rPr>
                <w:rFonts w:ascii="Times New Roman" w:hAnsi="Times New Roman" w:cs="Times New Roman"/>
                <w:sz w:val="24"/>
                <w:szCs w:val="24"/>
                <w:shd w:val="clear" w:color="auto" w:fill="FEFEFE"/>
              </w:rPr>
              <w:t xml:space="preserve">8. </w:t>
            </w:r>
            <w:r w:rsidR="00130FD8" w:rsidRPr="0060581B">
              <w:rPr>
                <w:rFonts w:ascii="Times New Roman" w:hAnsi="Times New Roman" w:cs="Times New Roman"/>
                <w:sz w:val="24"/>
                <w:szCs w:val="24"/>
                <w:shd w:val="clear" w:color="auto" w:fill="FEFEFE"/>
              </w:rPr>
              <w:t xml:space="preserve">включва в колективните си органи представители на различни заинтересовани страни от местната общност, идентифицирани в </w:t>
            </w:r>
            <w:r w:rsidR="004B0DF0">
              <w:rPr>
                <w:rFonts w:ascii="Times New Roman" w:hAnsi="Times New Roman" w:cs="Times New Roman"/>
                <w:sz w:val="24"/>
                <w:szCs w:val="24"/>
                <w:shd w:val="clear" w:color="auto" w:fill="FEFEFE"/>
              </w:rPr>
              <w:t xml:space="preserve">проучванията и </w:t>
            </w:r>
            <w:r w:rsidR="00130FD8" w:rsidRPr="0060581B">
              <w:rPr>
                <w:rFonts w:ascii="Times New Roman" w:hAnsi="Times New Roman" w:cs="Times New Roman"/>
                <w:sz w:val="24"/>
                <w:szCs w:val="24"/>
                <w:shd w:val="clear" w:color="auto" w:fill="FEFEFE"/>
              </w:rPr>
              <w:t>анализ</w:t>
            </w:r>
            <w:r w:rsidR="004B0DF0">
              <w:rPr>
                <w:rFonts w:ascii="Times New Roman" w:hAnsi="Times New Roman" w:cs="Times New Roman"/>
                <w:sz w:val="24"/>
                <w:szCs w:val="24"/>
                <w:shd w:val="clear" w:color="auto" w:fill="FEFEFE"/>
              </w:rPr>
              <w:t>ите</w:t>
            </w:r>
            <w:r w:rsidR="00130FD8" w:rsidRPr="0060581B">
              <w:rPr>
                <w:rFonts w:ascii="Times New Roman" w:hAnsi="Times New Roman" w:cs="Times New Roman"/>
                <w:sz w:val="24"/>
                <w:szCs w:val="24"/>
                <w:shd w:val="clear" w:color="auto" w:fill="FEFEFE"/>
              </w:rPr>
              <w:t xml:space="preserve"> </w:t>
            </w:r>
            <w:r w:rsidR="004B0DF0">
              <w:rPr>
                <w:rFonts w:ascii="Times New Roman" w:hAnsi="Times New Roman" w:cs="Times New Roman"/>
                <w:sz w:val="24"/>
                <w:szCs w:val="24"/>
                <w:shd w:val="clear" w:color="auto" w:fill="FEFEFE"/>
              </w:rPr>
              <w:t>към</w:t>
            </w:r>
            <w:r w:rsidR="00130FD8" w:rsidRPr="0060581B">
              <w:rPr>
                <w:rFonts w:ascii="Times New Roman" w:hAnsi="Times New Roman" w:cs="Times New Roman"/>
                <w:sz w:val="24"/>
                <w:szCs w:val="24"/>
                <w:shd w:val="clear" w:color="auto" w:fill="FEFEFE"/>
              </w:rPr>
              <w:t xml:space="preserve"> стратегията за ВОМР включително уязвими групи и малцинства (когато е приложимо).</w:t>
            </w:r>
          </w:p>
          <w:p w14:paraId="01FD0A5C" w14:textId="3DCDBD49" w:rsidR="009D59DB" w:rsidRPr="006955EF" w:rsidRDefault="006740A3" w:rsidP="007541D6">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11.1.</w:t>
            </w:r>
            <w:r w:rsidR="00BC3DE1">
              <w:rPr>
                <w:rFonts w:ascii="Times New Roman" w:hAnsi="Times New Roman" w:cs="Times New Roman"/>
                <w:sz w:val="24"/>
                <w:szCs w:val="24"/>
                <w:shd w:val="clear" w:color="auto" w:fill="FEFEFE"/>
              </w:rPr>
              <w:t>1.9</w:t>
            </w:r>
            <w:r w:rsidRPr="006955EF">
              <w:rPr>
                <w:rFonts w:ascii="Times New Roman" w:hAnsi="Times New Roman" w:cs="Times New Roman"/>
                <w:sz w:val="24"/>
                <w:szCs w:val="24"/>
                <w:shd w:val="clear" w:color="auto" w:fill="FEFEFE"/>
              </w:rPr>
              <w:t xml:space="preserve">. </w:t>
            </w:r>
            <w:r w:rsidR="0002367B" w:rsidRPr="006955EF">
              <w:rPr>
                <w:rFonts w:ascii="Times New Roman" w:hAnsi="Times New Roman" w:cs="Times New Roman"/>
                <w:sz w:val="24"/>
                <w:szCs w:val="24"/>
                <w:shd w:val="clear" w:color="auto" w:fill="FEFEFE"/>
              </w:rPr>
              <w:t xml:space="preserve">осигурява за изпълнение на стратегията за ВОМР: </w:t>
            </w:r>
          </w:p>
          <w:p w14:paraId="31511FC4" w14:textId="65E9DDF3" w:rsidR="009D59DB" w:rsidRPr="00EE0376" w:rsidRDefault="0002367B" w:rsidP="007541D6">
            <w:pPr>
              <w:spacing w:line="276" w:lineRule="auto"/>
              <w:ind w:firstLine="567"/>
              <w:jc w:val="both"/>
              <w:rPr>
                <w:rFonts w:ascii="Times New Roman" w:hAnsi="Times New Roman" w:cs="Times New Roman"/>
                <w:sz w:val="24"/>
                <w:szCs w:val="24"/>
                <w:shd w:val="clear" w:color="auto" w:fill="FEFEFE"/>
              </w:rPr>
            </w:pPr>
            <w:r w:rsidRPr="000842B8">
              <w:rPr>
                <w:rFonts w:ascii="Times New Roman" w:hAnsi="Times New Roman" w:cs="Times New Roman"/>
                <w:sz w:val="24"/>
                <w:szCs w:val="24"/>
                <w:shd w:val="clear" w:color="auto" w:fill="FEFEFE"/>
              </w:rPr>
              <w:t>1. самостоятелен офис</w:t>
            </w:r>
            <w:r w:rsidR="00E94C84" w:rsidRPr="000842B8">
              <w:rPr>
                <w:rFonts w:ascii="Times New Roman" w:hAnsi="Times New Roman" w:cs="Times New Roman"/>
                <w:sz w:val="24"/>
                <w:szCs w:val="24"/>
                <w:shd w:val="clear" w:color="auto" w:fill="FEFEFE"/>
              </w:rPr>
              <w:t xml:space="preserve">, достъпен за </w:t>
            </w:r>
            <w:r w:rsidR="007A2F9B">
              <w:rPr>
                <w:rFonts w:ascii="Times New Roman" w:hAnsi="Times New Roman" w:cs="Times New Roman"/>
                <w:sz w:val="24"/>
                <w:szCs w:val="24"/>
                <w:shd w:val="clear" w:color="auto" w:fill="FEFEFE"/>
              </w:rPr>
              <w:t>хора с увреждания</w:t>
            </w:r>
            <w:r w:rsidR="00170FD5" w:rsidRPr="00D108CF">
              <w:rPr>
                <w:rFonts w:ascii="Times New Roman" w:hAnsi="Times New Roman" w:cs="Times New Roman"/>
                <w:sz w:val="24"/>
                <w:szCs w:val="24"/>
                <w:shd w:val="clear" w:color="auto" w:fill="FEFEFE"/>
              </w:rPr>
              <w:t xml:space="preserve"> и трудно подвижни лица</w:t>
            </w:r>
            <w:r w:rsidRPr="00EE0376">
              <w:rPr>
                <w:rFonts w:ascii="Times New Roman" w:hAnsi="Times New Roman" w:cs="Times New Roman"/>
                <w:sz w:val="24"/>
                <w:szCs w:val="24"/>
                <w:shd w:val="clear" w:color="auto" w:fill="FEFEFE"/>
              </w:rPr>
              <w:t xml:space="preserve">; </w:t>
            </w:r>
          </w:p>
          <w:p w14:paraId="51ABBEF0" w14:textId="69A21885" w:rsidR="009D59DB" w:rsidRPr="00007027" w:rsidRDefault="0002367B" w:rsidP="007541D6">
            <w:pPr>
              <w:spacing w:line="276" w:lineRule="auto"/>
              <w:ind w:firstLine="567"/>
              <w:jc w:val="both"/>
              <w:rPr>
                <w:rFonts w:ascii="Times New Roman" w:hAnsi="Times New Roman" w:cs="Times New Roman"/>
                <w:sz w:val="24"/>
                <w:szCs w:val="24"/>
                <w:shd w:val="clear" w:color="auto" w:fill="FEFEFE"/>
              </w:rPr>
            </w:pPr>
            <w:r w:rsidRPr="00007027">
              <w:rPr>
                <w:rFonts w:ascii="Times New Roman" w:hAnsi="Times New Roman" w:cs="Times New Roman"/>
                <w:sz w:val="24"/>
                <w:szCs w:val="24"/>
                <w:shd w:val="clear" w:color="auto" w:fill="FEFEFE"/>
              </w:rPr>
              <w:t xml:space="preserve">2. служители на пълен работен ден за позициите изпълнителен директор и </w:t>
            </w:r>
            <w:r w:rsidR="00A779E3">
              <w:rPr>
                <w:rFonts w:ascii="Times New Roman" w:hAnsi="Times New Roman" w:cs="Times New Roman"/>
                <w:sz w:val="24"/>
                <w:szCs w:val="24"/>
                <w:shd w:val="clear" w:color="auto" w:fill="FEFEFE"/>
              </w:rPr>
              <w:t>до трима</w:t>
            </w:r>
            <w:r w:rsidR="0074511A">
              <w:rPr>
                <w:rFonts w:ascii="Times New Roman" w:hAnsi="Times New Roman" w:cs="Times New Roman"/>
                <w:sz w:val="24"/>
                <w:szCs w:val="24"/>
                <w:shd w:val="clear" w:color="auto" w:fill="FEFEFE"/>
              </w:rPr>
              <w:t xml:space="preserve"> </w:t>
            </w:r>
            <w:r w:rsidRPr="00007027">
              <w:rPr>
                <w:rFonts w:ascii="Times New Roman" w:hAnsi="Times New Roman" w:cs="Times New Roman"/>
                <w:sz w:val="24"/>
                <w:szCs w:val="24"/>
                <w:shd w:val="clear" w:color="auto" w:fill="FEFEFE"/>
              </w:rPr>
              <w:t>експерт</w:t>
            </w:r>
            <w:r w:rsidR="0074511A">
              <w:rPr>
                <w:rFonts w:ascii="Times New Roman" w:hAnsi="Times New Roman" w:cs="Times New Roman"/>
                <w:sz w:val="24"/>
                <w:szCs w:val="24"/>
                <w:shd w:val="clear" w:color="auto" w:fill="FEFEFE"/>
              </w:rPr>
              <w:t>и</w:t>
            </w:r>
            <w:r w:rsidRPr="00007027">
              <w:rPr>
                <w:rFonts w:ascii="Times New Roman" w:hAnsi="Times New Roman" w:cs="Times New Roman"/>
                <w:sz w:val="24"/>
                <w:szCs w:val="24"/>
                <w:shd w:val="clear" w:color="auto" w:fill="FEFEFE"/>
              </w:rPr>
              <w:t xml:space="preserve"> по прилагане на стратегията за ВОМР; </w:t>
            </w:r>
          </w:p>
          <w:p w14:paraId="76BA49F1" w14:textId="77777777" w:rsidR="00E009E3" w:rsidRDefault="0002367B" w:rsidP="007541D6">
            <w:pPr>
              <w:spacing w:line="276" w:lineRule="auto"/>
              <w:ind w:firstLine="567"/>
              <w:jc w:val="both"/>
              <w:rPr>
                <w:rFonts w:ascii="Times New Roman" w:hAnsi="Times New Roman" w:cs="Times New Roman"/>
                <w:sz w:val="24"/>
                <w:szCs w:val="24"/>
                <w:shd w:val="clear" w:color="auto" w:fill="FEFEFE"/>
              </w:rPr>
            </w:pPr>
            <w:r w:rsidRPr="00E85783">
              <w:rPr>
                <w:rFonts w:ascii="Times New Roman" w:hAnsi="Times New Roman" w:cs="Times New Roman"/>
                <w:sz w:val="24"/>
                <w:szCs w:val="24"/>
                <w:shd w:val="clear" w:color="auto" w:fill="FEFEFE"/>
              </w:rPr>
              <w:t>3. офис оборудване за осъществяване на дейността, в това число принтер, оборудвани работни места и компютри, съответстващи на броя на осигурените служители</w:t>
            </w:r>
            <w:r w:rsidR="00E009E3">
              <w:rPr>
                <w:rFonts w:ascii="Times New Roman" w:hAnsi="Times New Roman" w:cs="Times New Roman"/>
                <w:sz w:val="24"/>
                <w:szCs w:val="24"/>
                <w:shd w:val="clear" w:color="auto" w:fill="FEFEFE"/>
              </w:rPr>
              <w:t>;</w:t>
            </w:r>
          </w:p>
          <w:p w14:paraId="532D58BB" w14:textId="5AD64141" w:rsidR="0002367B" w:rsidRPr="006955EF" w:rsidRDefault="00E009E3"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4. интернет страница.</w:t>
            </w:r>
          </w:p>
          <w:p w14:paraId="0DB1DD52" w14:textId="39B25357" w:rsidR="0002367B" w:rsidRPr="006955EF" w:rsidRDefault="006740A3" w:rsidP="00044F85">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11.</w:t>
            </w:r>
            <w:r w:rsidR="004B2259">
              <w:rPr>
                <w:rFonts w:ascii="Times New Roman" w:hAnsi="Times New Roman" w:cs="Times New Roman"/>
                <w:sz w:val="24"/>
                <w:szCs w:val="24"/>
                <w:shd w:val="clear" w:color="auto" w:fill="FEFEFE"/>
              </w:rPr>
              <w:t>1</w:t>
            </w:r>
            <w:r w:rsidRPr="006955EF">
              <w:rPr>
                <w:rFonts w:ascii="Times New Roman" w:hAnsi="Times New Roman" w:cs="Times New Roman"/>
                <w:sz w:val="24"/>
                <w:szCs w:val="24"/>
                <w:shd w:val="clear" w:color="auto" w:fill="FEFEFE"/>
              </w:rPr>
              <w:t>.</w:t>
            </w:r>
            <w:r w:rsidR="00BC3DE1">
              <w:rPr>
                <w:rFonts w:ascii="Times New Roman" w:hAnsi="Times New Roman" w:cs="Times New Roman"/>
                <w:sz w:val="24"/>
                <w:szCs w:val="24"/>
                <w:shd w:val="clear" w:color="auto" w:fill="FEFEFE"/>
              </w:rPr>
              <w:t>1.9.1.</w:t>
            </w:r>
            <w:r w:rsidRPr="006955EF">
              <w:rPr>
                <w:rFonts w:ascii="Times New Roman" w:hAnsi="Times New Roman" w:cs="Times New Roman"/>
                <w:sz w:val="24"/>
                <w:szCs w:val="24"/>
                <w:shd w:val="clear" w:color="auto" w:fill="FEFEFE"/>
              </w:rPr>
              <w:t xml:space="preserve"> </w:t>
            </w:r>
            <w:r w:rsidR="0002367B" w:rsidRPr="006955EF">
              <w:rPr>
                <w:rFonts w:ascii="Times New Roman" w:hAnsi="Times New Roman" w:cs="Times New Roman"/>
                <w:sz w:val="24"/>
                <w:szCs w:val="24"/>
                <w:shd w:val="clear" w:color="auto" w:fill="FEFEFE"/>
              </w:rPr>
              <w:t xml:space="preserve">Правомощията на изпълнителния директор се определят в </w:t>
            </w:r>
            <w:r w:rsidR="00C858EF">
              <w:rPr>
                <w:rFonts w:ascii="Times New Roman" w:hAnsi="Times New Roman" w:cs="Times New Roman"/>
                <w:sz w:val="24"/>
                <w:szCs w:val="24"/>
                <w:shd w:val="clear" w:color="auto" w:fill="FEFEFE"/>
              </w:rPr>
              <w:t>длъжностната</w:t>
            </w:r>
            <w:r w:rsidR="00C858EF" w:rsidRPr="006955EF">
              <w:rPr>
                <w:rFonts w:ascii="Times New Roman" w:hAnsi="Times New Roman" w:cs="Times New Roman"/>
                <w:sz w:val="24"/>
                <w:szCs w:val="24"/>
                <w:shd w:val="clear" w:color="auto" w:fill="FEFEFE"/>
              </w:rPr>
              <w:t xml:space="preserve"> </w:t>
            </w:r>
            <w:r w:rsidR="0002367B" w:rsidRPr="006955EF">
              <w:rPr>
                <w:rFonts w:ascii="Times New Roman" w:hAnsi="Times New Roman" w:cs="Times New Roman"/>
                <w:sz w:val="24"/>
                <w:szCs w:val="24"/>
                <w:shd w:val="clear" w:color="auto" w:fill="FEFEFE"/>
              </w:rPr>
              <w:t xml:space="preserve">му </w:t>
            </w:r>
            <w:r w:rsidR="00C858EF">
              <w:rPr>
                <w:rFonts w:ascii="Times New Roman" w:hAnsi="Times New Roman" w:cs="Times New Roman"/>
                <w:sz w:val="24"/>
                <w:szCs w:val="24"/>
                <w:shd w:val="clear" w:color="auto" w:fill="FEFEFE"/>
              </w:rPr>
              <w:t>характеристика</w:t>
            </w:r>
            <w:r w:rsidR="0002367B" w:rsidRPr="006955EF">
              <w:rPr>
                <w:rFonts w:ascii="Times New Roman" w:hAnsi="Times New Roman" w:cs="Times New Roman"/>
                <w:sz w:val="24"/>
                <w:szCs w:val="24"/>
                <w:shd w:val="clear" w:color="auto" w:fill="FEFEFE"/>
              </w:rPr>
              <w:t>.</w:t>
            </w:r>
          </w:p>
          <w:p w14:paraId="765D564E" w14:textId="77777777" w:rsidR="009D59DB" w:rsidRPr="006955EF" w:rsidRDefault="0002367B" w:rsidP="007541D6">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 xml:space="preserve">Изпълнителният директор трябва да има: </w:t>
            </w:r>
          </w:p>
          <w:p w14:paraId="6BEC20C3" w14:textId="0933FF82" w:rsidR="009D59DB" w:rsidRPr="006955EF" w:rsidRDefault="0002367B" w:rsidP="007541D6">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1. завършено висше образование, най-малко степен „</w:t>
            </w:r>
            <w:r w:rsidR="00FF53DD">
              <w:rPr>
                <w:rFonts w:ascii="Times New Roman" w:hAnsi="Times New Roman" w:cs="Times New Roman"/>
                <w:sz w:val="24"/>
                <w:szCs w:val="24"/>
                <w:shd w:val="clear" w:color="auto" w:fill="FEFEFE"/>
              </w:rPr>
              <w:t>магистър</w:t>
            </w:r>
            <w:r w:rsidRPr="006955EF">
              <w:rPr>
                <w:rFonts w:ascii="Times New Roman" w:hAnsi="Times New Roman" w:cs="Times New Roman"/>
                <w:sz w:val="24"/>
                <w:szCs w:val="24"/>
                <w:shd w:val="clear" w:color="auto" w:fill="FEFEFE"/>
              </w:rPr>
              <w:t xml:space="preserve">“; </w:t>
            </w:r>
          </w:p>
          <w:p w14:paraId="6F131207" w14:textId="4199922D" w:rsidR="009D59DB" w:rsidRPr="006955EF" w:rsidRDefault="0002367B" w:rsidP="007541D6">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 xml:space="preserve">2. </w:t>
            </w:r>
            <w:r w:rsidR="001C651E" w:rsidRPr="006955EF">
              <w:rPr>
                <w:rFonts w:ascii="Times New Roman" w:hAnsi="Times New Roman" w:cs="Times New Roman"/>
                <w:sz w:val="24"/>
                <w:szCs w:val="24"/>
                <w:shd w:val="clear" w:color="auto" w:fill="FEFEFE"/>
              </w:rPr>
              <w:t xml:space="preserve">трудов </w:t>
            </w:r>
            <w:r w:rsidRPr="006955EF">
              <w:rPr>
                <w:rFonts w:ascii="Times New Roman" w:hAnsi="Times New Roman" w:cs="Times New Roman"/>
                <w:sz w:val="24"/>
                <w:szCs w:val="24"/>
                <w:shd w:val="clear" w:color="auto" w:fill="FEFEFE"/>
              </w:rPr>
              <w:t xml:space="preserve">стаж </w:t>
            </w:r>
            <w:r w:rsidR="00817734">
              <w:rPr>
                <w:rFonts w:ascii="Times New Roman" w:hAnsi="Times New Roman" w:cs="Times New Roman"/>
                <w:sz w:val="24"/>
                <w:szCs w:val="24"/>
                <w:shd w:val="clear" w:color="auto" w:fill="FEFEFE"/>
              </w:rPr>
              <w:t>и</w:t>
            </w:r>
            <w:r w:rsidR="00817734">
              <w:rPr>
                <w:rFonts w:ascii="Times New Roman" w:hAnsi="Times New Roman" w:cs="Times New Roman"/>
                <w:sz w:val="24"/>
                <w:szCs w:val="24"/>
                <w:shd w:val="clear" w:color="auto" w:fill="FEFEFE"/>
                <w:lang w:val="en-GB"/>
              </w:rPr>
              <w:t>/</w:t>
            </w:r>
            <w:r w:rsidR="00817734">
              <w:rPr>
                <w:rFonts w:ascii="Times New Roman" w:hAnsi="Times New Roman" w:cs="Times New Roman"/>
                <w:sz w:val="24"/>
                <w:szCs w:val="24"/>
                <w:shd w:val="clear" w:color="auto" w:fill="FEFEFE"/>
              </w:rPr>
              <w:t xml:space="preserve">или осигурителен стаж </w:t>
            </w:r>
            <w:r w:rsidRPr="006955EF">
              <w:rPr>
                <w:rFonts w:ascii="Times New Roman" w:hAnsi="Times New Roman" w:cs="Times New Roman"/>
                <w:sz w:val="24"/>
                <w:szCs w:val="24"/>
                <w:shd w:val="clear" w:color="auto" w:fill="FEFEFE"/>
              </w:rPr>
              <w:t xml:space="preserve">най-малко 5 години; </w:t>
            </w:r>
          </w:p>
          <w:p w14:paraId="4255E4D0" w14:textId="77777777" w:rsidR="009D59DB" w:rsidRPr="006955EF" w:rsidRDefault="0002367B" w:rsidP="007541D6">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3. управленски опит най-малко две години</w:t>
            </w:r>
            <w:r w:rsidR="002F258C" w:rsidRPr="006955EF">
              <w:rPr>
                <w:rFonts w:ascii="Times New Roman" w:hAnsi="Times New Roman" w:cs="Times New Roman"/>
                <w:sz w:val="24"/>
                <w:szCs w:val="24"/>
                <w:shd w:val="clear" w:color="auto" w:fill="FEFEFE"/>
              </w:rPr>
              <w:t xml:space="preserve"> или най-малко три години опит като експерт в МИГ по прилагане на стратегия за ВОМР</w:t>
            </w:r>
            <w:r w:rsidRPr="006955EF">
              <w:rPr>
                <w:rFonts w:ascii="Times New Roman" w:hAnsi="Times New Roman" w:cs="Times New Roman"/>
                <w:sz w:val="24"/>
                <w:szCs w:val="24"/>
                <w:shd w:val="clear" w:color="auto" w:fill="FEFEFE"/>
              </w:rPr>
              <w:t xml:space="preserve">; </w:t>
            </w:r>
          </w:p>
          <w:p w14:paraId="7B844F07" w14:textId="6426DF6A" w:rsidR="0002367B" w:rsidRPr="006955EF" w:rsidRDefault="0002367B" w:rsidP="007541D6">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4. опит в реализиране на проект, програма или стратегия със стойност над 100 хиляди лева, финансирани от ЕС или от други международни донори.</w:t>
            </w:r>
          </w:p>
          <w:p w14:paraId="665250F3" w14:textId="0E4281E2" w:rsidR="009D59DB" w:rsidRPr="006955EF" w:rsidRDefault="006740A3" w:rsidP="00044F85">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11.</w:t>
            </w:r>
            <w:r w:rsidR="004B2259">
              <w:rPr>
                <w:rFonts w:ascii="Times New Roman" w:hAnsi="Times New Roman" w:cs="Times New Roman"/>
                <w:sz w:val="24"/>
                <w:szCs w:val="24"/>
                <w:shd w:val="clear" w:color="auto" w:fill="FEFEFE"/>
              </w:rPr>
              <w:t>1</w:t>
            </w:r>
            <w:r w:rsidR="004F6740">
              <w:rPr>
                <w:rFonts w:ascii="Times New Roman" w:hAnsi="Times New Roman" w:cs="Times New Roman"/>
                <w:sz w:val="24"/>
                <w:szCs w:val="24"/>
                <w:shd w:val="clear" w:color="auto" w:fill="FEFEFE"/>
              </w:rPr>
              <w:t>.</w:t>
            </w:r>
            <w:r w:rsidR="004B2259">
              <w:rPr>
                <w:rFonts w:ascii="Times New Roman" w:hAnsi="Times New Roman" w:cs="Times New Roman"/>
                <w:sz w:val="24"/>
                <w:szCs w:val="24"/>
                <w:shd w:val="clear" w:color="auto" w:fill="FEFEFE"/>
              </w:rPr>
              <w:t>1</w:t>
            </w:r>
            <w:r w:rsidR="00BC3DE1">
              <w:rPr>
                <w:rFonts w:ascii="Times New Roman" w:hAnsi="Times New Roman" w:cs="Times New Roman"/>
                <w:sz w:val="24"/>
                <w:szCs w:val="24"/>
                <w:shd w:val="clear" w:color="auto" w:fill="FEFEFE"/>
              </w:rPr>
              <w:t>.9.2</w:t>
            </w:r>
            <w:r w:rsidR="004F6740">
              <w:rPr>
                <w:rFonts w:ascii="Times New Roman" w:hAnsi="Times New Roman" w:cs="Times New Roman"/>
                <w:sz w:val="24"/>
                <w:szCs w:val="24"/>
                <w:shd w:val="clear" w:color="auto" w:fill="FEFEFE"/>
              </w:rPr>
              <w:t>.</w:t>
            </w:r>
            <w:r w:rsidR="004B2259">
              <w:rPr>
                <w:rFonts w:ascii="Times New Roman" w:hAnsi="Times New Roman" w:cs="Times New Roman"/>
                <w:sz w:val="24"/>
                <w:szCs w:val="24"/>
                <w:shd w:val="clear" w:color="auto" w:fill="FEFEFE"/>
              </w:rPr>
              <w:t xml:space="preserve"> </w:t>
            </w:r>
            <w:r w:rsidR="0002367B" w:rsidRPr="006955EF">
              <w:rPr>
                <w:rFonts w:ascii="Times New Roman" w:hAnsi="Times New Roman" w:cs="Times New Roman"/>
                <w:sz w:val="24"/>
                <w:szCs w:val="24"/>
                <w:shd w:val="clear" w:color="auto" w:fill="FEFEFE"/>
              </w:rPr>
              <w:t xml:space="preserve">Експертите по прилагане на стратегията за ВОМР трябва да имат: </w:t>
            </w:r>
          </w:p>
          <w:p w14:paraId="2A900659" w14:textId="2ADDDBF8" w:rsidR="009D59DB" w:rsidRPr="006955EF" w:rsidRDefault="0002367B" w:rsidP="007541D6">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 xml:space="preserve">1. завършено висше образование, най-малко степен „бакалавър“; </w:t>
            </w:r>
          </w:p>
          <w:p w14:paraId="1DD8C13F" w14:textId="3DA6B625" w:rsidR="0002367B" w:rsidRPr="006955EF" w:rsidRDefault="0002367B" w:rsidP="00044F85">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 xml:space="preserve">2. </w:t>
            </w:r>
            <w:r w:rsidR="001C651E" w:rsidRPr="006955EF">
              <w:rPr>
                <w:rFonts w:ascii="Times New Roman" w:hAnsi="Times New Roman" w:cs="Times New Roman"/>
                <w:sz w:val="24"/>
                <w:szCs w:val="24"/>
                <w:shd w:val="clear" w:color="auto" w:fill="FEFEFE"/>
              </w:rPr>
              <w:t>трудов</w:t>
            </w:r>
            <w:r w:rsidRPr="006955EF">
              <w:rPr>
                <w:rFonts w:ascii="Times New Roman" w:hAnsi="Times New Roman" w:cs="Times New Roman"/>
                <w:sz w:val="24"/>
                <w:szCs w:val="24"/>
                <w:shd w:val="clear" w:color="auto" w:fill="FEFEFE"/>
              </w:rPr>
              <w:t xml:space="preserve"> стаж </w:t>
            </w:r>
            <w:r w:rsidR="0078575F">
              <w:rPr>
                <w:rFonts w:ascii="Times New Roman" w:hAnsi="Times New Roman" w:cs="Times New Roman"/>
                <w:sz w:val="24"/>
                <w:szCs w:val="24"/>
                <w:shd w:val="clear" w:color="auto" w:fill="FEFEFE"/>
              </w:rPr>
              <w:t>и</w:t>
            </w:r>
            <w:r w:rsidR="0078575F">
              <w:rPr>
                <w:rFonts w:ascii="Times New Roman" w:hAnsi="Times New Roman" w:cs="Times New Roman"/>
                <w:sz w:val="24"/>
                <w:szCs w:val="24"/>
                <w:shd w:val="clear" w:color="auto" w:fill="FEFEFE"/>
                <w:lang w:val="en-GB"/>
              </w:rPr>
              <w:t>/</w:t>
            </w:r>
            <w:r w:rsidR="0078575F">
              <w:rPr>
                <w:rFonts w:ascii="Times New Roman" w:hAnsi="Times New Roman" w:cs="Times New Roman"/>
                <w:sz w:val="24"/>
                <w:szCs w:val="24"/>
                <w:shd w:val="clear" w:color="auto" w:fill="FEFEFE"/>
              </w:rPr>
              <w:t>или осигурителен стаж</w:t>
            </w:r>
            <w:r w:rsidR="0078575F" w:rsidRPr="006955EF">
              <w:rPr>
                <w:rFonts w:ascii="Times New Roman" w:hAnsi="Times New Roman" w:cs="Times New Roman"/>
                <w:sz w:val="24"/>
                <w:szCs w:val="24"/>
                <w:shd w:val="clear" w:color="auto" w:fill="FEFEFE"/>
              </w:rPr>
              <w:t xml:space="preserve"> </w:t>
            </w:r>
            <w:r w:rsidRPr="006955EF">
              <w:rPr>
                <w:rFonts w:ascii="Times New Roman" w:hAnsi="Times New Roman" w:cs="Times New Roman"/>
                <w:sz w:val="24"/>
                <w:szCs w:val="24"/>
                <w:shd w:val="clear" w:color="auto" w:fill="FEFEFE"/>
              </w:rPr>
              <w:t>най-малко две години.</w:t>
            </w:r>
          </w:p>
          <w:p w14:paraId="3D46C021" w14:textId="77777777" w:rsidR="00A843F8" w:rsidRDefault="0002367B" w:rsidP="007541D6">
            <w:pPr>
              <w:spacing w:line="276" w:lineRule="auto"/>
              <w:ind w:firstLine="567"/>
              <w:jc w:val="both"/>
              <w:rPr>
                <w:rFonts w:ascii="Times New Roman" w:hAnsi="Times New Roman" w:cs="Times New Roman"/>
                <w:sz w:val="24"/>
                <w:szCs w:val="24"/>
                <w:shd w:val="clear" w:color="auto" w:fill="FEFEFE"/>
              </w:rPr>
            </w:pPr>
            <w:r w:rsidRPr="006955EF">
              <w:rPr>
                <w:rFonts w:ascii="Times New Roman" w:hAnsi="Times New Roman" w:cs="Times New Roman"/>
                <w:sz w:val="24"/>
                <w:szCs w:val="24"/>
                <w:shd w:val="clear" w:color="auto" w:fill="FEFEFE"/>
              </w:rPr>
              <w:t xml:space="preserve">Служител на МИГ може да бъде физическо лице, което: </w:t>
            </w:r>
          </w:p>
          <w:p w14:paraId="33231C3E" w14:textId="77777777" w:rsidR="00A843F8" w:rsidRDefault="00A843F8"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 </w:t>
            </w:r>
            <w:r w:rsidR="0002367B" w:rsidRPr="006955EF">
              <w:rPr>
                <w:rFonts w:ascii="Times New Roman" w:hAnsi="Times New Roman" w:cs="Times New Roman"/>
                <w:sz w:val="24"/>
                <w:szCs w:val="24"/>
                <w:shd w:val="clear" w:color="auto" w:fill="FEFEFE"/>
              </w:rPr>
              <w:t xml:space="preserve">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 </w:t>
            </w:r>
          </w:p>
          <w:p w14:paraId="55299BAD" w14:textId="3639681C" w:rsidR="00A843F8" w:rsidRDefault="00A843F8"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 </w:t>
            </w:r>
            <w:r w:rsidR="0002367B" w:rsidRPr="006955EF">
              <w:rPr>
                <w:rFonts w:ascii="Times New Roman" w:hAnsi="Times New Roman" w:cs="Times New Roman"/>
                <w:sz w:val="24"/>
                <w:szCs w:val="24"/>
                <w:shd w:val="clear" w:color="auto" w:fill="FEFEFE"/>
              </w:rPr>
              <w:t xml:space="preserve">не е общински съветник, кмет, заместник-кмет или служител на централна или </w:t>
            </w:r>
            <w:r w:rsidR="0002367B" w:rsidRPr="006955EF">
              <w:rPr>
                <w:rFonts w:ascii="Times New Roman" w:hAnsi="Times New Roman" w:cs="Times New Roman"/>
                <w:sz w:val="24"/>
                <w:szCs w:val="24"/>
                <w:shd w:val="clear" w:color="auto" w:fill="FEFEFE"/>
              </w:rPr>
              <w:lastRenderedPageBreak/>
              <w:t>териториална администрация на изпълнителната власт, на местната власт или на публично лице</w:t>
            </w:r>
            <w:r>
              <w:rPr>
                <w:rFonts w:ascii="Times New Roman" w:hAnsi="Times New Roman" w:cs="Times New Roman"/>
                <w:sz w:val="24"/>
                <w:szCs w:val="24"/>
                <w:shd w:val="clear" w:color="auto" w:fill="FEFEFE"/>
              </w:rPr>
              <w:t>;</w:t>
            </w:r>
            <w:r w:rsidR="00C37611" w:rsidRPr="006955EF">
              <w:rPr>
                <w:rFonts w:ascii="Times New Roman" w:hAnsi="Times New Roman" w:cs="Times New Roman"/>
                <w:sz w:val="24"/>
                <w:szCs w:val="24"/>
                <w:shd w:val="clear" w:color="auto" w:fill="FEFEFE"/>
              </w:rPr>
              <w:t xml:space="preserve"> </w:t>
            </w:r>
          </w:p>
          <w:p w14:paraId="488E6B23" w14:textId="77777777" w:rsidR="003207D3" w:rsidRDefault="00A843F8"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 </w:t>
            </w:r>
            <w:r w:rsidR="00C37611" w:rsidRPr="006955EF">
              <w:rPr>
                <w:rFonts w:ascii="Times New Roman" w:hAnsi="Times New Roman" w:cs="Times New Roman"/>
                <w:sz w:val="24"/>
                <w:szCs w:val="24"/>
                <w:shd w:val="clear" w:color="auto" w:fill="FEFEFE"/>
              </w:rPr>
              <w:t>не е лице, което лично или в качеството си на собственик, управител или контролиращ друго лице предоставя консултантски услуги на същата МИГ, свързани с прилагането на стратегия за ВОМР за периода 2023 – 2027 г.</w:t>
            </w:r>
          </w:p>
          <w:p w14:paraId="0819BADB" w14:textId="0A357BFC" w:rsidR="004F6740" w:rsidRPr="00FB202F" w:rsidRDefault="004F6740" w:rsidP="007541D6">
            <w:pPr>
              <w:tabs>
                <w:tab w:val="left" w:pos="0"/>
              </w:tabs>
              <w:spacing w:line="276" w:lineRule="auto"/>
              <w:ind w:firstLine="567"/>
              <w:jc w:val="both"/>
              <w:rPr>
                <w:rFonts w:ascii="Times New Roman" w:hAnsi="Times New Roman" w:cs="Times New Roman"/>
                <w:sz w:val="24"/>
                <w:szCs w:val="24"/>
                <w:shd w:val="clear" w:color="auto" w:fill="FEFEFE"/>
              </w:rPr>
            </w:pPr>
            <w:r w:rsidRPr="0027146C">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1</w:t>
            </w:r>
            <w:r w:rsidRPr="0027146C">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1</w:t>
            </w:r>
            <w:r w:rsidRPr="0027146C">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1.10.</w:t>
            </w:r>
            <w:r w:rsidRPr="0027146C">
              <w:rPr>
                <w:rFonts w:ascii="Times New Roman" w:hAnsi="Times New Roman" w:cs="Times New Roman"/>
                <w:sz w:val="24"/>
                <w:szCs w:val="24"/>
                <w:shd w:val="clear" w:color="auto" w:fill="FEFEFE"/>
              </w:rPr>
              <w:t xml:space="preserve"> </w:t>
            </w:r>
            <w:r w:rsidRPr="00FB202F">
              <w:rPr>
                <w:rFonts w:ascii="Times New Roman" w:hAnsi="Times New Roman" w:cs="Times New Roman"/>
                <w:sz w:val="24"/>
                <w:szCs w:val="24"/>
                <w:shd w:val="clear" w:color="auto" w:fill="FEFEFE"/>
              </w:rPr>
              <w:t xml:space="preserve">Местната инициативна група може да бъде бенефициент </w:t>
            </w:r>
            <w:r w:rsidR="00C30143">
              <w:rPr>
                <w:rFonts w:ascii="Times New Roman" w:hAnsi="Times New Roman" w:cs="Times New Roman"/>
                <w:sz w:val="24"/>
                <w:szCs w:val="24"/>
                <w:shd w:val="clear" w:color="auto" w:fill="FEFEFE"/>
              </w:rPr>
              <w:t xml:space="preserve">с проект </w:t>
            </w:r>
            <w:r w:rsidRPr="00FB202F">
              <w:rPr>
                <w:rFonts w:ascii="Times New Roman" w:hAnsi="Times New Roman" w:cs="Times New Roman"/>
                <w:sz w:val="24"/>
                <w:szCs w:val="24"/>
                <w:shd w:val="clear" w:color="auto" w:fill="FEFEFE"/>
              </w:rPr>
              <w:t>към стратегията за ВОМР когато:</w:t>
            </w:r>
          </w:p>
          <w:p w14:paraId="5E222711" w14:textId="2497289B" w:rsidR="004F6740" w:rsidRPr="00FB202F" w:rsidRDefault="004F6740" w:rsidP="00044F85">
            <w:pPr>
              <w:widowControl w:val="0"/>
              <w:autoSpaceDE w:val="0"/>
              <w:autoSpaceDN w:val="0"/>
              <w:adjustRightInd w:val="0"/>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.1.1.</w:t>
            </w:r>
            <w:r>
              <w:rPr>
                <w:rFonts w:ascii="Times New Roman" w:hAnsi="Times New Roman" w:cs="Times New Roman"/>
                <w:sz w:val="24"/>
                <w:szCs w:val="24"/>
                <w:shd w:val="clear" w:color="auto" w:fill="FEFEFE"/>
              </w:rPr>
              <w:t>10.1.</w:t>
            </w:r>
            <w:r w:rsidRPr="00FB202F">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това </w:t>
            </w:r>
            <w:r w:rsidRPr="00FB202F">
              <w:rPr>
                <w:rFonts w:ascii="Times New Roman" w:hAnsi="Times New Roman" w:cs="Times New Roman"/>
                <w:sz w:val="24"/>
                <w:szCs w:val="24"/>
                <w:shd w:val="clear" w:color="auto" w:fill="FEFEFE"/>
              </w:rPr>
              <w:t xml:space="preserve">е </w:t>
            </w:r>
            <w:r>
              <w:rPr>
                <w:rFonts w:ascii="Times New Roman" w:hAnsi="Times New Roman" w:cs="Times New Roman"/>
                <w:sz w:val="24"/>
                <w:szCs w:val="24"/>
                <w:shd w:val="clear" w:color="auto" w:fill="FEFEFE"/>
              </w:rPr>
              <w:t>предвидено в стратегията за ВОМР;</w:t>
            </w:r>
          </w:p>
          <w:p w14:paraId="5F41AA44" w14:textId="49A9CDCB" w:rsidR="004F6740" w:rsidRPr="00FB202F" w:rsidRDefault="004F6740" w:rsidP="007541D6">
            <w:pPr>
              <w:widowControl w:val="0"/>
              <w:autoSpaceDE w:val="0"/>
              <w:autoSpaceDN w:val="0"/>
              <w:adjustRightInd w:val="0"/>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1.1</w:t>
            </w:r>
            <w:r w:rsidRPr="00FB202F">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10</w:t>
            </w:r>
            <w:r w:rsidRPr="00FB202F">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 xml:space="preserve">2. </w:t>
            </w:r>
            <w:r w:rsidRPr="00FB202F">
              <w:rPr>
                <w:rFonts w:ascii="Times New Roman" w:hAnsi="Times New Roman" w:cs="Times New Roman"/>
                <w:sz w:val="24"/>
                <w:szCs w:val="24"/>
                <w:shd w:val="clear" w:color="auto" w:fill="FEFEFE"/>
              </w:rPr>
              <w:t xml:space="preserve">никой от членовете на колективния управителен орган, </w:t>
            </w:r>
            <w:r w:rsidRPr="00214525">
              <w:rPr>
                <w:rFonts w:ascii="Times New Roman" w:hAnsi="Times New Roman" w:cs="Times New Roman"/>
                <w:sz w:val="24"/>
                <w:szCs w:val="24"/>
                <w:shd w:val="clear" w:color="auto" w:fill="FEFEFE"/>
              </w:rPr>
              <w:t>както и свързано с него лице по смисъла на § 1 от допълнителните разпоредби на Търговския закон,</w:t>
            </w:r>
            <w:r w:rsidRPr="00FB202F">
              <w:rPr>
                <w:rFonts w:ascii="Times New Roman" w:hAnsi="Times New Roman" w:cs="Times New Roman"/>
                <w:sz w:val="24"/>
                <w:szCs w:val="24"/>
                <w:shd w:val="clear" w:color="auto" w:fill="FEFEFE"/>
              </w:rPr>
              <w:t xml:space="preserve"> не е изпълнител или подизпълнител на дейностите;</w:t>
            </w:r>
          </w:p>
          <w:p w14:paraId="752DCC8A" w14:textId="5E6551C0" w:rsidR="004F6740" w:rsidRPr="00FB202F" w:rsidRDefault="004F6740" w:rsidP="007541D6">
            <w:pPr>
              <w:widowControl w:val="0"/>
              <w:autoSpaceDE w:val="0"/>
              <w:autoSpaceDN w:val="0"/>
              <w:adjustRightInd w:val="0"/>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10</w:t>
            </w:r>
            <w:r w:rsidRPr="00FB202F">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3.</w:t>
            </w:r>
            <w:r w:rsidRPr="00FB202F">
              <w:rPr>
                <w:rFonts w:ascii="Times New Roman" w:hAnsi="Times New Roman" w:cs="Times New Roman"/>
                <w:sz w:val="24"/>
                <w:szCs w:val="24"/>
                <w:shd w:val="clear" w:color="auto" w:fill="FEFEFE"/>
              </w:rPr>
              <w:t xml:space="preserve"> проектът, за който кандидатства за финансиране, е </w:t>
            </w:r>
            <w:r w:rsidR="00032A62">
              <w:rPr>
                <w:rFonts w:ascii="Times New Roman" w:hAnsi="Times New Roman" w:cs="Times New Roman"/>
                <w:sz w:val="24"/>
                <w:szCs w:val="24"/>
                <w:shd w:val="clear" w:color="auto" w:fill="FEFEFE"/>
              </w:rPr>
              <w:t>за нестопански дейности</w:t>
            </w:r>
            <w:r>
              <w:rPr>
                <w:rFonts w:ascii="Times New Roman" w:hAnsi="Times New Roman" w:cs="Times New Roman"/>
                <w:sz w:val="24"/>
                <w:szCs w:val="24"/>
                <w:shd w:val="clear" w:color="auto" w:fill="FEFEFE"/>
              </w:rPr>
              <w:t>.</w:t>
            </w:r>
          </w:p>
          <w:p w14:paraId="5077C9AE" w14:textId="77777777" w:rsidR="004F6740" w:rsidRDefault="004F6740" w:rsidP="00044F85">
            <w:pPr>
              <w:spacing w:line="276" w:lineRule="auto"/>
              <w:ind w:firstLine="567"/>
              <w:jc w:val="both"/>
              <w:rPr>
                <w:rFonts w:ascii="Times New Roman" w:hAnsi="Times New Roman" w:cs="Times New Roman"/>
                <w:sz w:val="24"/>
                <w:szCs w:val="24"/>
                <w:shd w:val="clear" w:color="auto" w:fill="FEFEFE"/>
              </w:rPr>
            </w:pPr>
          </w:p>
          <w:p w14:paraId="2C644C4D" w14:textId="21EC4B3D" w:rsidR="00BC3DE1" w:rsidRDefault="00BC3DE1"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11.1.2. </w:t>
            </w:r>
            <w:r w:rsidRPr="00AC30ED">
              <w:rPr>
                <w:rFonts w:ascii="Times New Roman" w:hAnsi="Times New Roman" w:cs="Times New Roman"/>
                <w:sz w:val="24"/>
                <w:szCs w:val="24"/>
                <w:shd w:val="clear" w:color="auto" w:fill="FEFEFE"/>
              </w:rPr>
              <w:t>Допустим кандидат за предоставяне на финанс</w:t>
            </w:r>
            <w:r>
              <w:rPr>
                <w:rFonts w:ascii="Times New Roman" w:hAnsi="Times New Roman" w:cs="Times New Roman"/>
                <w:sz w:val="24"/>
                <w:szCs w:val="24"/>
                <w:shd w:val="clear" w:color="auto" w:fill="FEFEFE"/>
              </w:rPr>
              <w:t>ова помощ за изпълнение на дейности</w:t>
            </w:r>
            <w:r w:rsidRPr="00AC30ED">
              <w:rPr>
                <w:rFonts w:ascii="Times New Roman" w:hAnsi="Times New Roman" w:cs="Times New Roman"/>
                <w:sz w:val="24"/>
                <w:szCs w:val="24"/>
                <w:shd w:val="clear" w:color="auto" w:fill="FEFEFE"/>
              </w:rPr>
              <w:t xml:space="preserve"> за сътрудничество </w:t>
            </w:r>
            <w:r>
              <w:rPr>
                <w:rFonts w:ascii="Times New Roman" w:hAnsi="Times New Roman" w:cs="Times New Roman"/>
                <w:sz w:val="24"/>
                <w:szCs w:val="24"/>
                <w:shd w:val="clear" w:color="auto" w:fill="FEFEFE"/>
              </w:rPr>
              <w:t xml:space="preserve">и подготовка за него </w:t>
            </w:r>
            <w:r w:rsidRPr="00AC30ED">
              <w:rPr>
                <w:rFonts w:ascii="Times New Roman" w:hAnsi="Times New Roman" w:cs="Times New Roman"/>
                <w:sz w:val="24"/>
                <w:szCs w:val="24"/>
                <w:shd w:val="clear" w:color="auto" w:fill="FEFEFE"/>
              </w:rPr>
              <w:t xml:space="preserve">е МИГ, сключила споразумение за изпълнение на стратегия за ВОМР по реда на Постановление № </w:t>
            </w:r>
            <w:r w:rsidR="0088605B">
              <w:rPr>
                <w:rFonts w:ascii="Times New Roman" w:hAnsi="Times New Roman" w:cs="Times New Roman"/>
                <w:sz w:val="24"/>
                <w:szCs w:val="24"/>
                <w:shd w:val="clear" w:color="auto" w:fill="FEFEFE"/>
              </w:rPr>
              <w:t>494</w:t>
            </w:r>
            <w:r w:rsidR="003E38E3">
              <w:rPr>
                <w:rFonts w:ascii="Times New Roman" w:hAnsi="Times New Roman" w:cs="Times New Roman"/>
                <w:sz w:val="24"/>
                <w:szCs w:val="24"/>
                <w:shd w:val="clear" w:color="auto" w:fill="FEFEFE"/>
              </w:rPr>
              <w:t xml:space="preserve"> и включила в нея мярка за сътрудничество. </w:t>
            </w:r>
            <w:r w:rsidR="004B2267">
              <w:rPr>
                <w:rFonts w:ascii="Times New Roman" w:hAnsi="Times New Roman" w:cs="Times New Roman"/>
                <w:sz w:val="24"/>
                <w:szCs w:val="24"/>
                <w:shd w:val="clear" w:color="auto" w:fill="FEFEFE"/>
              </w:rPr>
              <w:t>Изискван</w:t>
            </w:r>
            <w:r w:rsidR="00E6564E">
              <w:rPr>
                <w:rFonts w:ascii="Times New Roman" w:hAnsi="Times New Roman" w:cs="Times New Roman"/>
                <w:sz w:val="24"/>
                <w:szCs w:val="24"/>
                <w:shd w:val="clear" w:color="auto" w:fill="FEFEFE"/>
              </w:rPr>
              <w:t>ия</w:t>
            </w:r>
            <w:r w:rsidR="004B2267">
              <w:rPr>
                <w:rFonts w:ascii="Times New Roman" w:hAnsi="Times New Roman" w:cs="Times New Roman"/>
                <w:sz w:val="24"/>
                <w:szCs w:val="24"/>
                <w:shd w:val="clear" w:color="auto" w:fill="FEFEFE"/>
              </w:rPr>
              <w:t>т</w:t>
            </w:r>
            <w:r w:rsidR="00E6564E">
              <w:rPr>
                <w:rFonts w:ascii="Times New Roman" w:hAnsi="Times New Roman" w:cs="Times New Roman"/>
                <w:sz w:val="24"/>
                <w:szCs w:val="24"/>
                <w:shd w:val="clear" w:color="auto" w:fill="FEFEFE"/>
              </w:rPr>
              <w:t>а</w:t>
            </w:r>
            <w:r w:rsidR="004B2267">
              <w:rPr>
                <w:rFonts w:ascii="Times New Roman" w:hAnsi="Times New Roman" w:cs="Times New Roman"/>
                <w:sz w:val="24"/>
                <w:szCs w:val="24"/>
                <w:shd w:val="clear" w:color="auto" w:fill="FEFEFE"/>
              </w:rPr>
              <w:t xml:space="preserve"> по т. 11.1.1.10.2 </w:t>
            </w:r>
            <w:r w:rsidR="00E6564E">
              <w:rPr>
                <w:rFonts w:ascii="Times New Roman" w:hAnsi="Times New Roman" w:cs="Times New Roman"/>
                <w:sz w:val="24"/>
                <w:szCs w:val="24"/>
                <w:shd w:val="clear" w:color="auto" w:fill="FEFEFE"/>
              </w:rPr>
              <w:t>и т. 11.1.10.3 се прилагат</w:t>
            </w:r>
            <w:r w:rsidR="004B2267">
              <w:rPr>
                <w:rFonts w:ascii="Times New Roman" w:hAnsi="Times New Roman" w:cs="Times New Roman"/>
                <w:sz w:val="24"/>
                <w:szCs w:val="24"/>
                <w:shd w:val="clear" w:color="auto" w:fill="FEFEFE"/>
              </w:rPr>
              <w:t xml:space="preserve"> при изпълнението на дейностите за сътрудничество.</w:t>
            </w:r>
          </w:p>
          <w:p w14:paraId="1ECFE48A" w14:textId="77777777" w:rsidR="00BC3DE1" w:rsidRDefault="00BC3DE1" w:rsidP="007541D6">
            <w:pPr>
              <w:spacing w:line="276" w:lineRule="auto"/>
              <w:ind w:firstLine="567"/>
              <w:jc w:val="both"/>
              <w:rPr>
                <w:rFonts w:ascii="Times New Roman" w:hAnsi="Times New Roman" w:cs="Times New Roman"/>
                <w:sz w:val="24"/>
                <w:szCs w:val="24"/>
                <w:shd w:val="clear" w:color="auto" w:fill="FEFEFE"/>
              </w:rPr>
            </w:pPr>
          </w:p>
          <w:p w14:paraId="76D0D03A" w14:textId="22BCA841" w:rsidR="00AC30ED" w:rsidRPr="00B61451" w:rsidRDefault="00F83B13" w:rsidP="00476344">
            <w:pPr>
              <w:spacing w:line="276" w:lineRule="auto"/>
              <w:ind w:firstLine="567"/>
              <w:jc w:val="both"/>
              <w:rPr>
                <w:rFonts w:ascii="Times New Roman" w:hAnsi="Times New Roman" w:cs="Times New Roman"/>
                <w:sz w:val="24"/>
                <w:szCs w:val="24"/>
                <w:shd w:val="clear" w:color="auto" w:fill="FEFEFE"/>
                <w:lang w:val="en-GB"/>
              </w:rPr>
            </w:pPr>
            <w:r>
              <w:rPr>
                <w:rFonts w:ascii="Times New Roman" w:hAnsi="Times New Roman" w:cs="Times New Roman"/>
                <w:sz w:val="24"/>
                <w:szCs w:val="24"/>
                <w:shd w:val="clear" w:color="auto" w:fill="FEFEFE"/>
              </w:rPr>
              <w:t>11.</w:t>
            </w:r>
            <w:r w:rsidR="004B2259">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w:t>
            </w:r>
            <w:r w:rsidR="00BC3DE1">
              <w:rPr>
                <w:rFonts w:ascii="Times New Roman" w:hAnsi="Times New Roman" w:cs="Times New Roman"/>
                <w:sz w:val="24"/>
                <w:szCs w:val="24"/>
                <w:shd w:val="clear" w:color="auto" w:fill="FEFEFE"/>
              </w:rPr>
              <w:t>3</w:t>
            </w:r>
            <w:r w:rsidR="004B2259">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 xml:space="preserve"> </w:t>
            </w:r>
            <w:r w:rsidR="00BE4295">
              <w:rPr>
                <w:rFonts w:ascii="Times New Roman" w:hAnsi="Times New Roman" w:cs="Times New Roman"/>
                <w:sz w:val="24"/>
                <w:szCs w:val="24"/>
                <w:shd w:val="clear" w:color="auto" w:fill="FEFEFE"/>
              </w:rPr>
              <w:t>Допустимите к</w:t>
            </w:r>
            <w:r w:rsidRPr="00F83B13">
              <w:rPr>
                <w:rFonts w:ascii="Times New Roman" w:hAnsi="Times New Roman" w:cs="Times New Roman"/>
                <w:sz w:val="24"/>
                <w:szCs w:val="24"/>
                <w:shd w:val="clear" w:color="auto" w:fill="FEFEFE"/>
              </w:rPr>
              <w:t>андидати/бенефициенти по стратегиите за ВОМР са с постоянен адрес или седалище на територията на МИГ, с изключение на бенефициентите общини</w:t>
            </w:r>
            <w:r w:rsidR="006D4CA7">
              <w:rPr>
                <w:rFonts w:ascii="Times New Roman" w:hAnsi="Times New Roman" w:cs="Times New Roman"/>
                <w:sz w:val="24"/>
                <w:szCs w:val="24"/>
                <w:shd w:val="clear" w:color="auto" w:fill="FEFEFE"/>
              </w:rPr>
              <w:t xml:space="preserve"> с общински център с население над 30 000 жители в строителните му граници</w:t>
            </w:r>
            <w:r w:rsidR="00476344">
              <w:rPr>
                <w:rFonts w:ascii="Times New Roman" w:hAnsi="Times New Roman" w:cs="Times New Roman"/>
                <w:sz w:val="24"/>
                <w:szCs w:val="24"/>
                <w:shd w:val="clear" w:color="auto" w:fill="FEFEFE"/>
              </w:rPr>
              <w:t xml:space="preserve"> и бенефициентите общини </w:t>
            </w:r>
            <w:r w:rsidR="00476344" w:rsidRPr="00476344">
              <w:rPr>
                <w:rFonts w:ascii="Times New Roman" w:hAnsi="Times New Roman" w:cs="Times New Roman"/>
                <w:sz w:val="24"/>
                <w:szCs w:val="24"/>
                <w:shd w:val="clear" w:color="auto" w:fill="FEFEFE"/>
              </w:rPr>
              <w:t>в обхвата на селските райони, които имат седалище в съответния областен град (Тунджа, Марица, Родопи и Добричка)</w:t>
            </w:r>
            <w:r w:rsidRPr="00F83B13">
              <w:rPr>
                <w:rFonts w:ascii="Times New Roman" w:hAnsi="Times New Roman" w:cs="Times New Roman"/>
                <w:sz w:val="24"/>
                <w:szCs w:val="24"/>
                <w:shd w:val="clear" w:color="auto" w:fill="FEFEFE"/>
              </w:rPr>
              <w:t>.</w:t>
            </w:r>
            <w:r w:rsidR="00FD54E4">
              <w:rPr>
                <w:rFonts w:ascii="Times New Roman" w:hAnsi="Times New Roman" w:cs="Times New Roman"/>
                <w:sz w:val="24"/>
                <w:szCs w:val="24"/>
                <w:shd w:val="clear" w:color="auto" w:fill="FEFEFE"/>
              </w:rPr>
              <w:t xml:space="preserve"> </w:t>
            </w:r>
            <w:r w:rsidR="006D4CA7">
              <w:rPr>
                <w:rFonts w:ascii="Times New Roman" w:hAnsi="Times New Roman" w:cs="Times New Roman"/>
                <w:sz w:val="24"/>
                <w:szCs w:val="24"/>
                <w:shd w:val="clear" w:color="auto" w:fill="FEFEFE"/>
              </w:rPr>
              <w:t xml:space="preserve"> </w:t>
            </w:r>
          </w:p>
        </w:tc>
      </w:tr>
      <w:tr w:rsidR="00FB202F" w:rsidRPr="00FB202F" w14:paraId="676C86CE" w14:textId="77777777" w:rsidTr="009D59DB">
        <w:tc>
          <w:tcPr>
            <w:tcW w:w="9923" w:type="dxa"/>
          </w:tcPr>
          <w:p w14:paraId="642E8335" w14:textId="77777777" w:rsidR="0002367B" w:rsidRPr="00FB202F" w:rsidRDefault="0002367B" w:rsidP="007541D6">
            <w:pPr>
              <w:spacing w:line="276" w:lineRule="auto"/>
              <w:ind w:firstLine="567"/>
              <w:jc w:val="both"/>
              <w:rPr>
                <w:rFonts w:ascii="Times New Roman" w:hAnsi="Times New Roman" w:cs="Times New Roman"/>
                <w:sz w:val="24"/>
                <w:szCs w:val="24"/>
                <w:shd w:val="clear" w:color="auto" w:fill="FEFEFE"/>
              </w:rPr>
            </w:pPr>
          </w:p>
        </w:tc>
      </w:tr>
    </w:tbl>
    <w:p w14:paraId="4CA2791C" w14:textId="287D6583" w:rsidR="003935EC" w:rsidRPr="00FB202F" w:rsidRDefault="003935EC" w:rsidP="00044F85">
      <w:pPr>
        <w:pBdr>
          <w:top w:val="single" w:sz="4" w:space="1" w:color="auto"/>
          <w:left w:val="single" w:sz="4" w:space="4" w:color="auto"/>
          <w:bottom w:val="single" w:sz="4" w:space="1" w:color="auto"/>
          <w:right w:val="single" w:sz="4" w:space="0" w:color="auto"/>
        </w:pBdr>
        <w:tabs>
          <w:tab w:val="left" w:pos="0"/>
          <w:tab w:val="left" w:pos="709"/>
        </w:tabs>
        <w:spacing w:after="0"/>
        <w:ind w:firstLine="567"/>
        <w:contextualSpacing/>
        <w:jc w:val="both"/>
        <w:rPr>
          <w:rFonts w:ascii="Times New Roman" w:hAnsi="Times New Roman" w:cs="Times New Roman"/>
          <w:b/>
          <w:sz w:val="24"/>
          <w:szCs w:val="24"/>
        </w:rPr>
      </w:pPr>
      <w:r w:rsidRPr="009D59DB">
        <w:rPr>
          <w:rFonts w:ascii="Times New Roman" w:hAnsi="Times New Roman" w:cs="Times New Roman"/>
          <w:b/>
          <w:sz w:val="24"/>
          <w:szCs w:val="24"/>
        </w:rPr>
        <w:t>11.2.</w:t>
      </w:r>
      <w:r w:rsidRPr="009D59DB">
        <w:rPr>
          <w:rFonts w:ascii="Times New Roman" w:hAnsi="Times New Roman" w:cs="Times New Roman"/>
          <w:sz w:val="24"/>
          <w:szCs w:val="24"/>
        </w:rPr>
        <w:t xml:space="preserve"> </w:t>
      </w:r>
      <w:r w:rsidR="0002367B" w:rsidRPr="009D59DB">
        <w:rPr>
          <w:rFonts w:ascii="Times New Roman" w:hAnsi="Times New Roman" w:cs="Times New Roman"/>
          <w:b/>
          <w:sz w:val="24"/>
          <w:szCs w:val="24"/>
        </w:rPr>
        <w:t xml:space="preserve">Условия </w:t>
      </w:r>
      <w:r w:rsidRPr="009D59DB">
        <w:rPr>
          <w:rFonts w:ascii="Times New Roman" w:hAnsi="Times New Roman" w:cs="Times New Roman"/>
          <w:b/>
          <w:sz w:val="24"/>
          <w:szCs w:val="24"/>
        </w:rPr>
        <w:t>за недопустимост на кандидатите</w:t>
      </w:r>
    </w:p>
    <w:p w14:paraId="2ECEFC4C" w14:textId="729307C8" w:rsidR="007F6F54" w:rsidRPr="00FB202F" w:rsidRDefault="007F6F54" w:rsidP="00044F85">
      <w:pPr>
        <w:pBdr>
          <w:top w:val="single" w:sz="4" w:space="1" w:color="auto"/>
          <w:left w:val="single" w:sz="4" w:space="4" w:color="auto"/>
          <w:bottom w:val="single" w:sz="4" w:space="1" w:color="auto"/>
          <w:right w:val="single" w:sz="4" w:space="0" w:color="auto"/>
        </w:pBdr>
        <w:tabs>
          <w:tab w:val="left" w:pos="0"/>
          <w:tab w:val="left" w:pos="709"/>
        </w:tabs>
        <w:spacing w:after="0"/>
        <w:ind w:firstLine="567"/>
        <w:contextualSpacing/>
        <w:jc w:val="both"/>
        <w:rPr>
          <w:rFonts w:ascii="Times New Roman" w:hAnsi="Times New Roman" w:cs="Times New Roman"/>
          <w:b/>
          <w:sz w:val="24"/>
          <w:szCs w:val="24"/>
        </w:rPr>
      </w:pPr>
      <w:r w:rsidRPr="00FB202F">
        <w:rPr>
          <w:rFonts w:ascii="Times New Roman" w:hAnsi="Times New Roman" w:cs="Times New Roman"/>
          <w:sz w:val="24"/>
          <w:szCs w:val="24"/>
        </w:rPr>
        <w:t>Не се дава предимство, а даденото предимство се отнема, когато се установи, че кандидатът/бенефициентът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r w:rsidRPr="0016143C">
        <w:t xml:space="preserve"> </w:t>
      </w:r>
      <w:r w:rsidRPr="0016143C">
        <w:rPr>
          <w:rFonts w:ascii="Times New Roman" w:hAnsi="Times New Roman" w:cs="Times New Roman"/>
          <w:sz w:val="24"/>
          <w:szCs w:val="24"/>
        </w:rPr>
        <w:t xml:space="preserve">в съответствие с чл. 62 на Регламент (ЕС) </w:t>
      </w:r>
      <w:r w:rsidR="004C094C" w:rsidRPr="004C094C">
        <w:rPr>
          <w:rFonts w:ascii="Times New Roman" w:hAnsi="Times New Roman" w:cs="Times New Roman"/>
          <w:sz w:val="24"/>
          <w:szCs w:val="24"/>
        </w:rPr>
        <w:t>2024/2509</w:t>
      </w:r>
      <w:r w:rsidR="006C3FF4">
        <w:rPr>
          <w:rFonts w:ascii="Times New Roman" w:hAnsi="Times New Roman" w:cs="Times New Roman"/>
          <w:sz w:val="24"/>
          <w:szCs w:val="24"/>
        </w:rPr>
        <w:t xml:space="preserve"> </w:t>
      </w:r>
      <w:r w:rsidR="006C3FF4" w:rsidRPr="006C3FF4">
        <w:rPr>
          <w:rFonts w:ascii="Times New Roman" w:hAnsi="Times New Roman" w:cs="Times New Roman"/>
          <w:sz w:val="24"/>
          <w:szCs w:val="24"/>
        </w:rPr>
        <w:t>на Европейския парламент и на Съвета от 23 септември 2024 година за финансовите правила, приложими за общия бюджет на Съюза</w:t>
      </w:r>
      <w:r w:rsidRPr="00FB202F">
        <w:rPr>
          <w:rFonts w:ascii="Times New Roman" w:hAnsi="Times New Roman" w:cs="Times New Roman"/>
          <w:sz w:val="24"/>
          <w:szCs w:val="24"/>
        </w:rPr>
        <w:t>.</w:t>
      </w:r>
    </w:p>
    <w:p w14:paraId="0C3BEE9A" w14:textId="77777777" w:rsidR="000D7404" w:rsidRDefault="007F6F54" w:rsidP="000D7404">
      <w:pPr>
        <w:pBdr>
          <w:top w:val="single" w:sz="4" w:space="1" w:color="auto"/>
          <w:left w:val="single" w:sz="4" w:space="4" w:color="auto"/>
          <w:bottom w:val="single" w:sz="4" w:space="1" w:color="auto"/>
          <w:right w:val="single" w:sz="4" w:space="0" w:color="auto"/>
        </w:pBdr>
        <w:tabs>
          <w:tab w:val="left" w:pos="0"/>
          <w:tab w:val="left" w:pos="709"/>
        </w:tabs>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11.2.1. Местната инициативна група</w:t>
      </w:r>
      <w:r w:rsidR="000D7404">
        <w:rPr>
          <w:rFonts w:ascii="Times New Roman" w:hAnsi="Times New Roman" w:cs="Times New Roman"/>
          <w:sz w:val="24"/>
          <w:szCs w:val="24"/>
          <w:lang w:val="en-GB"/>
        </w:rPr>
        <w:t xml:space="preserve"> </w:t>
      </w:r>
      <w:r w:rsidR="000D7404">
        <w:rPr>
          <w:rFonts w:ascii="Times New Roman" w:hAnsi="Times New Roman" w:cs="Times New Roman"/>
          <w:sz w:val="24"/>
          <w:szCs w:val="24"/>
        </w:rPr>
        <w:t>е недопустим кандидат, когато:</w:t>
      </w:r>
    </w:p>
    <w:p w14:paraId="492E3F5C" w14:textId="234810CF" w:rsidR="000D7404" w:rsidRPr="000D7404" w:rsidRDefault="000D7404" w:rsidP="000D7404">
      <w:pPr>
        <w:pBdr>
          <w:top w:val="single" w:sz="4" w:space="1" w:color="auto"/>
          <w:left w:val="single" w:sz="4" w:space="4" w:color="auto"/>
          <w:bottom w:val="single" w:sz="4" w:space="1" w:color="auto"/>
          <w:right w:val="single" w:sz="4" w:space="0" w:color="auto"/>
        </w:pBdr>
        <w:tabs>
          <w:tab w:val="left" w:pos="0"/>
          <w:tab w:val="left" w:pos="709"/>
        </w:tabs>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11.2.1.1. </w:t>
      </w:r>
      <w:r w:rsidRPr="000D7404">
        <w:rPr>
          <w:rFonts w:ascii="Times New Roman" w:hAnsi="Times New Roman" w:cs="Times New Roman"/>
          <w:sz w:val="24"/>
          <w:szCs w:val="24"/>
        </w:rPr>
        <w:t>са налице обстоятелства за отстраняване от участие в процедура за възлагане на обществена поръчка съгласн</w:t>
      </w:r>
      <w:r>
        <w:rPr>
          <w:rFonts w:ascii="Times New Roman" w:hAnsi="Times New Roman" w:cs="Times New Roman"/>
          <w:sz w:val="24"/>
          <w:szCs w:val="24"/>
        </w:rPr>
        <w:t xml:space="preserve">о Закона за обществените поръчки, </w:t>
      </w:r>
      <w:r w:rsidRPr="000D7404">
        <w:rPr>
          <w:rFonts w:ascii="Times New Roman" w:hAnsi="Times New Roman" w:cs="Times New Roman"/>
          <w:sz w:val="24"/>
          <w:szCs w:val="24"/>
        </w:rPr>
        <w:t>ко</w:t>
      </w:r>
      <w:r>
        <w:rPr>
          <w:rFonts w:ascii="Times New Roman" w:hAnsi="Times New Roman" w:cs="Times New Roman"/>
          <w:sz w:val="24"/>
          <w:szCs w:val="24"/>
        </w:rPr>
        <w:t>гато</w:t>
      </w:r>
      <w:r w:rsidRPr="000D7404">
        <w:rPr>
          <w:rFonts w:ascii="Times New Roman" w:hAnsi="Times New Roman" w:cs="Times New Roman"/>
          <w:sz w:val="24"/>
          <w:szCs w:val="24"/>
        </w:rPr>
        <w:t xml:space="preserve"> не е изпълнил разпореждане на Европейската комисия за възстановяване на предоставената им неправомерна и несъвместима държавна помощ</w:t>
      </w:r>
      <w:r>
        <w:rPr>
          <w:rFonts w:ascii="Times New Roman" w:hAnsi="Times New Roman" w:cs="Times New Roman"/>
          <w:sz w:val="24"/>
          <w:szCs w:val="24"/>
        </w:rPr>
        <w:t>,</w:t>
      </w:r>
      <w:r w:rsidRPr="000D7404">
        <w:rPr>
          <w:rFonts w:ascii="Times New Roman" w:hAnsi="Times New Roman" w:cs="Times New Roman"/>
          <w:sz w:val="24"/>
          <w:szCs w:val="24"/>
        </w:rPr>
        <w:t xml:space="preserve"> и</w:t>
      </w:r>
      <w:r>
        <w:rPr>
          <w:rFonts w:ascii="Times New Roman" w:hAnsi="Times New Roman" w:cs="Times New Roman"/>
          <w:sz w:val="24"/>
          <w:szCs w:val="24"/>
        </w:rPr>
        <w:t>ли когато</w:t>
      </w:r>
      <w:r w:rsidRPr="000D7404">
        <w:rPr>
          <w:rFonts w:ascii="Times New Roman" w:hAnsi="Times New Roman" w:cs="Times New Roman"/>
          <w:sz w:val="24"/>
          <w:szCs w:val="24"/>
        </w:rPr>
        <w:t xml:space="preserve"> е налице конфликт на интереси по чл. 61 от </w:t>
      </w:r>
      <w:r w:rsidR="00A443E4" w:rsidRPr="00CD6FAC">
        <w:rPr>
          <w:rFonts w:ascii="Times New Roman" w:hAnsi="Times New Roman" w:cs="Times New Roman"/>
          <w:sz w:val="24"/>
          <w:szCs w:val="24"/>
        </w:rPr>
        <w:t>Регламент (ЕС, Евратом) 20</w:t>
      </w:r>
      <w:r w:rsidR="00A443E4">
        <w:rPr>
          <w:rFonts w:ascii="Times New Roman" w:hAnsi="Times New Roman" w:cs="Times New Roman"/>
          <w:sz w:val="24"/>
          <w:szCs w:val="24"/>
        </w:rPr>
        <w:t>25</w:t>
      </w:r>
      <w:r w:rsidR="00A443E4" w:rsidRPr="00CD6FAC">
        <w:rPr>
          <w:rFonts w:ascii="Times New Roman" w:hAnsi="Times New Roman" w:cs="Times New Roman"/>
          <w:sz w:val="24"/>
          <w:szCs w:val="24"/>
        </w:rPr>
        <w:t>/</w:t>
      </w:r>
      <w:r w:rsidR="00A443E4">
        <w:rPr>
          <w:rFonts w:ascii="Times New Roman" w:hAnsi="Times New Roman" w:cs="Times New Roman"/>
          <w:sz w:val="24"/>
          <w:szCs w:val="24"/>
        </w:rPr>
        <w:t>2509</w:t>
      </w:r>
      <w:r w:rsidRPr="000D7404">
        <w:rPr>
          <w:rFonts w:ascii="Times New Roman" w:hAnsi="Times New Roman" w:cs="Times New Roman"/>
          <w:sz w:val="24"/>
          <w:szCs w:val="24"/>
        </w:rPr>
        <w:t>.</w:t>
      </w:r>
      <w:r>
        <w:rPr>
          <w:rFonts w:ascii="Times New Roman" w:hAnsi="Times New Roman" w:cs="Times New Roman"/>
          <w:sz w:val="24"/>
          <w:szCs w:val="24"/>
        </w:rPr>
        <w:t xml:space="preserve"> </w:t>
      </w:r>
    </w:p>
    <w:p w14:paraId="674BDBC0" w14:textId="6020982B" w:rsidR="00C641FD" w:rsidRPr="00FB202F" w:rsidRDefault="00C641FD" w:rsidP="00044F85">
      <w:pPr>
        <w:pBdr>
          <w:top w:val="single" w:sz="4" w:space="1" w:color="auto"/>
          <w:left w:val="single" w:sz="4" w:space="4" w:color="auto"/>
          <w:bottom w:val="single" w:sz="4" w:space="1" w:color="auto"/>
          <w:right w:val="single" w:sz="4" w:space="0" w:color="auto"/>
        </w:pBdr>
        <w:tabs>
          <w:tab w:val="left" w:pos="0"/>
          <w:tab w:val="left" w:pos="709"/>
        </w:tabs>
        <w:spacing w:after="0"/>
        <w:ind w:firstLine="567"/>
        <w:contextualSpacing/>
        <w:jc w:val="both"/>
        <w:rPr>
          <w:rFonts w:ascii="Times New Roman" w:hAnsi="Times New Roman" w:cs="Times New Roman"/>
          <w:sz w:val="24"/>
          <w:szCs w:val="24"/>
        </w:rPr>
      </w:pPr>
      <w:r w:rsidRPr="00FB202F">
        <w:rPr>
          <w:rFonts w:ascii="Times New Roman" w:hAnsi="Times New Roman" w:cs="Times New Roman"/>
          <w:sz w:val="24"/>
          <w:szCs w:val="24"/>
        </w:rPr>
        <w:t>11.2.1.</w:t>
      </w:r>
      <w:r w:rsidR="000D7404">
        <w:rPr>
          <w:rFonts w:ascii="Times New Roman" w:hAnsi="Times New Roman" w:cs="Times New Roman"/>
          <w:sz w:val="24"/>
          <w:szCs w:val="24"/>
        </w:rPr>
        <w:t>2</w:t>
      </w:r>
      <w:r w:rsidR="007F6F54">
        <w:rPr>
          <w:rFonts w:ascii="Times New Roman" w:hAnsi="Times New Roman" w:cs="Times New Roman"/>
          <w:sz w:val="24"/>
          <w:szCs w:val="24"/>
        </w:rPr>
        <w:t>.</w:t>
      </w:r>
      <w:r w:rsidRPr="00FB202F">
        <w:rPr>
          <w:rFonts w:ascii="Times New Roman" w:hAnsi="Times New Roman" w:cs="Times New Roman"/>
          <w:sz w:val="24"/>
          <w:szCs w:val="24"/>
        </w:rPr>
        <w:t xml:space="preserve"> </w:t>
      </w:r>
      <w:r w:rsidR="000D7404">
        <w:rPr>
          <w:rFonts w:ascii="Times New Roman" w:hAnsi="Times New Roman" w:cs="Times New Roman"/>
          <w:sz w:val="24"/>
          <w:szCs w:val="24"/>
        </w:rPr>
        <w:t>в</w:t>
      </w:r>
      <w:r w:rsidRPr="00FB202F">
        <w:rPr>
          <w:rFonts w:ascii="Times New Roman" w:hAnsi="Times New Roman" w:cs="Times New Roman"/>
          <w:sz w:val="24"/>
          <w:szCs w:val="24"/>
        </w:rPr>
        <w:t xml:space="preserve">ключва в състава си населено място, включено в </w:t>
      </w:r>
      <w:r w:rsidR="0016143C">
        <w:rPr>
          <w:rFonts w:ascii="Times New Roman" w:hAnsi="Times New Roman" w:cs="Times New Roman"/>
          <w:sz w:val="24"/>
          <w:szCs w:val="24"/>
        </w:rPr>
        <w:t xml:space="preserve">обхвата на територията на </w:t>
      </w:r>
      <w:r w:rsidRPr="00FB202F">
        <w:rPr>
          <w:rFonts w:ascii="Times New Roman" w:hAnsi="Times New Roman" w:cs="Times New Roman"/>
          <w:sz w:val="24"/>
          <w:szCs w:val="24"/>
        </w:rPr>
        <w:t>друга местна инициативна група – кандидат по настоящата процедура.</w:t>
      </w:r>
    </w:p>
    <w:p w14:paraId="4FB995A9" w14:textId="48425E53" w:rsidR="006E1251" w:rsidRDefault="000D7404" w:rsidP="007541D6">
      <w:pPr>
        <w:pBdr>
          <w:top w:val="single" w:sz="4" w:space="1" w:color="auto"/>
          <w:left w:val="single" w:sz="4" w:space="4" w:color="auto"/>
          <w:bottom w:val="single" w:sz="4" w:space="1" w:color="auto"/>
          <w:right w:val="single" w:sz="4" w:space="0" w:color="auto"/>
        </w:pBdr>
        <w:tabs>
          <w:tab w:val="left" w:pos="0"/>
          <w:tab w:val="left" w:pos="709"/>
        </w:tabs>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11.2.1.3. Членовете на колективния управителен орган на МИГ </w:t>
      </w:r>
      <w:r w:rsidR="00684535">
        <w:rPr>
          <w:rFonts w:ascii="Times New Roman" w:hAnsi="Times New Roman" w:cs="Times New Roman"/>
          <w:sz w:val="24"/>
          <w:szCs w:val="24"/>
        </w:rPr>
        <w:t xml:space="preserve">не </w:t>
      </w:r>
      <w:r w:rsidR="00C641FD" w:rsidRPr="00FB202F">
        <w:rPr>
          <w:rFonts w:ascii="Times New Roman" w:hAnsi="Times New Roman" w:cs="Times New Roman"/>
          <w:sz w:val="24"/>
          <w:szCs w:val="24"/>
        </w:rPr>
        <w:t>са лица, които</w:t>
      </w:r>
      <w:r w:rsidR="006E1251">
        <w:rPr>
          <w:rFonts w:ascii="Times New Roman" w:hAnsi="Times New Roman" w:cs="Times New Roman"/>
          <w:sz w:val="24"/>
          <w:szCs w:val="24"/>
        </w:rPr>
        <w:t>:</w:t>
      </w:r>
    </w:p>
    <w:p w14:paraId="1F204CDE" w14:textId="0FE5AA07" w:rsidR="007541D6" w:rsidRDefault="006E1251" w:rsidP="007541D6">
      <w:pPr>
        <w:pBdr>
          <w:top w:val="single" w:sz="4" w:space="1" w:color="auto"/>
          <w:left w:val="single" w:sz="4" w:space="4" w:color="auto"/>
          <w:bottom w:val="single" w:sz="4" w:space="1" w:color="auto"/>
          <w:right w:val="single" w:sz="4" w:space="0" w:color="auto"/>
        </w:pBdr>
        <w:tabs>
          <w:tab w:val="left" w:pos="0"/>
          <w:tab w:val="left" w:pos="709"/>
        </w:tabs>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11.2.1.3.1.</w:t>
      </w:r>
      <w:r w:rsidR="00C641FD" w:rsidRPr="00FB202F">
        <w:rPr>
          <w:rFonts w:ascii="Times New Roman" w:hAnsi="Times New Roman" w:cs="Times New Roman"/>
          <w:sz w:val="24"/>
          <w:szCs w:val="24"/>
        </w:rPr>
        <w:t xml:space="preserve"> лично или в качеството си на собственик, управител или контролиращ друго лице предоставят консултантски услуги на същата МИГ, свързани с прилагането на стратегия за ВОМР за периода 2023</w:t>
      </w:r>
      <w:r w:rsidR="005863F7">
        <w:rPr>
          <w:rFonts w:ascii="Times New Roman" w:hAnsi="Times New Roman" w:cs="Times New Roman"/>
          <w:sz w:val="24"/>
          <w:szCs w:val="24"/>
        </w:rPr>
        <w:t>-</w:t>
      </w:r>
      <w:r w:rsidR="00C641FD" w:rsidRPr="00FB202F">
        <w:rPr>
          <w:rFonts w:ascii="Times New Roman" w:hAnsi="Times New Roman" w:cs="Times New Roman"/>
          <w:sz w:val="24"/>
          <w:szCs w:val="24"/>
        </w:rPr>
        <w:t>2027 г.;</w:t>
      </w:r>
    </w:p>
    <w:p w14:paraId="4C1B9290" w14:textId="277DA6D0" w:rsidR="00C641FD" w:rsidRPr="00FB202F" w:rsidRDefault="00C641FD" w:rsidP="007541D6">
      <w:pPr>
        <w:pBdr>
          <w:top w:val="single" w:sz="4" w:space="1" w:color="auto"/>
          <w:left w:val="single" w:sz="4" w:space="4" w:color="auto"/>
          <w:bottom w:val="single" w:sz="4" w:space="1" w:color="auto"/>
          <w:right w:val="single" w:sz="4" w:space="0" w:color="auto"/>
        </w:pBdr>
        <w:tabs>
          <w:tab w:val="left" w:pos="0"/>
          <w:tab w:val="left" w:pos="709"/>
        </w:tabs>
        <w:spacing w:after="0"/>
        <w:ind w:firstLine="567"/>
        <w:contextualSpacing/>
        <w:jc w:val="both"/>
        <w:rPr>
          <w:rFonts w:ascii="Times New Roman" w:hAnsi="Times New Roman" w:cs="Times New Roman"/>
          <w:sz w:val="24"/>
          <w:szCs w:val="24"/>
        </w:rPr>
      </w:pPr>
      <w:r w:rsidRPr="00FB202F">
        <w:rPr>
          <w:rFonts w:ascii="Times New Roman" w:hAnsi="Times New Roman" w:cs="Times New Roman"/>
          <w:sz w:val="24"/>
          <w:szCs w:val="24"/>
        </w:rPr>
        <w:t>11.</w:t>
      </w:r>
      <w:r w:rsidR="006E1251">
        <w:rPr>
          <w:rFonts w:ascii="Times New Roman" w:hAnsi="Times New Roman" w:cs="Times New Roman"/>
          <w:sz w:val="24"/>
          <w:szCs w:val="24"/>
        </w:rPr>
        <w:t>2.1.3.2.</w:t>
      </w:r>
      <w:r w:rsidRPr="00FB202F">
        <w:rPr>
          <w:rFonts w:ascii="Times New Roman" w:hAnsi="Times New Roman" w:cs="Times New Roman"/>
          <w:sz w:val="24"/>
          <w:szCs w:val="24"/>
        </w:rPr>
        <w:t xml:space="preserve"> са свързани лица по смисъла на § 1 от допълнителните разпоредби на Търговския закон с </w:t>
      </w:r>
      <w:r w:rsidR="00C46478">
        <w:rPr>
          <w:rFonts w:ascii="Times New Roman" w:hAnsi="Times New Roman" w:cs="Times New Roman"/>
          <w:sz w:val="24"/>
          <w:szCs w:val="24"/>
        </w:rPr>
        <w:t xml:space="preserve">друг </w:t>
      </w:r>
      <w:r w:rsidRPr="00FB202F">
        <w:rPr>
          <w:rFonts w:ascii="Times New Roman" w:hAnsi="Times New Roman" w:cs="Times New Roman"/>
          <w:sz w:val="24"/>
          <w:szCs w:val="24"/>
        </w:rPr>
        <w:t xml:space="preserve">член на колективния управителен орган или представляващ по закон и пълномощие член на </w:t>
      </w:r>
      <w:r w:rsidR="00C862C3" w:rsidRPr="00FB202F">
        <w:rPr>
          <w:rFonts w:ascii="Times New Roman" w:hAnsi="Times New Roman" w:cs="Times New Roman"/>
          <w:sz w:val="24"/>
          <w:szCs w:val="24"/>
        </w:rPr>
        <w:t>к</w:t>
      </w:r>
      <w:r w:rsidRPr="00FB202F">
        <w:rPr>
          <w:rFonts w:ascii="Times New Roman" w:hAnsi="Times New Roman" w:cs="Times New Roman"/>
          <w:sz w:val="24"/>
          <w:szCs w:val="24"/>
        </w:rPr>
        <w:t xml:space="preserve">олективния управителен орган на МИГ и/или на </w:t>
      </w:r>
      <w:r w:rsidR="00C862C3" w:rsidRPr="00FB202F">
        <w:rPr>
          <w:rFonts w:ascii="Times New Roman" w:hAnsi="Times New Roman" w:cs="Times New Roman"/>
          <w:sz w:val="24"/>
          <w:szCs w:val="24"/>
        </w:rPr>
        <w:t>к</w:t>
      </w:r>
      <w:r w:rsidRPr="00FB202F">
        <w:rPr>
          <w:rFonts w:ascii="Times New Roman" w:hAnsi="Times New Roman" w:cs="Times New Roman"/>
          <w:sz w:val="24"/>
          <w:szCs w:val="24"/>
        </w:rPr>
        <w:t xml:space="preserve">онтролния орган на МИГ, или представляващ по закон и пълномощие член на </w:t>
      </w:r>
      <w:r w:rsidR="00C862C3" w:rsidRPr="00FB202F">
        <w:rPr>
          <w:rFonts w:ascii="Times New Roman" w:hAnsi="Times New Roman" w:cs="Times New Roman"/>
          <w:sz w:val="24"/>
          <w:szCs w:val="24"/>
        </w:rPr>
        <w:t>к</w:t>
      </w:r>
      <w:r w:rsidRPr="00FB202F">
        <w:rPr>
          <w:rFonts w:ascii="Times New Roman" w:hAnsi="Times New Roman" w:cs="Times New Roman"/>
          <w:sz w:val="24"/>
          <w:szCs w:val="24"/>
        </w:rPr>
        <w:t xml:space="preserve">онтролния орган на МИГ. </w:t>
      </w:r>
    </w:p>
    <w:p w14:paraId="2F2DE3A4" w14:textId="05A43833" w:rsidR="003935EC" w:rsidRDefault="00C641FD">
      <w:pPr>
        <w:widowControl w:val="0"/>
        <w:pBdr>
          <w:top w:val="single" w:sz="4" w:space="1" w:color="auto"/>
          <w:left w:val="single" w:sz="4" w:space="4" w:color="auto"/>
          <w:bottom w:val="single" w:sz="4" w:space="1" w:color="auto"/>
          <w:right w:val="single" w:sz="4" w:space="0" w:color="auto"/>
        </w:pBdr>
        <w:autoSpaceDE w:val="0"/>
        <w:autoSpaceDN w:val="0"/>
        <w:adjustRightInd w:val="0"/>
        <w:spacing w:after="0"/>
        <w:ind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Липсата на посочените обстоятелства се доказва с декларация към момента на кандидатстване съгласно приложение № </w:t>
      </w:r>
      <w:r w:rsidR="00A85CD4">
        <w:rPr>
          <w:rFonts w:ascii="Times New Roman" w:hAnsi="Times New Roman" w:cs="Times New Roman"/>
          <w:sz w:val="24"/>
          <w:szCs w:val="24"/>
        </w:rPr>
        <w:t>1</w:t>
      </w:r>
      <w:r w:rsidRPr="00FB202F">
        <w:rPr>
          <w:rFonts w:ascii="Times New Roman" w:hAnsi="Times New Roman" w:cs="Times New Roman"/>
          <w:sz w:val="24"/>
          <w:szCs w:val="24"/>
        </w:rPr>
        <w:t xml:space="preserve"> от документите към </w:t>
      </w:r>
      <w:r w:rsidR="002E39A8">
        <w:rPr>
          <w:rFonts w:ascii="Times New Roman" w:hAnsi="Times New Roman" w:cs="Times New Roman"/>
          <w:sz w:val="24"/>
          <w:szCs w:val="24"/>
        </w:rPr>
        <w:t>У</w:t>
      </w:r>
      <w:r w:rsidRPr="00FB202F">
        <w:rPr>
          <w:rFonts w:ascii="Times New Roman" w:hAnsi="Times New Roman" w:cs="Times New Roman"/>
          <w:sz w:val="24"/>
          <w:szCs w:val="24"/>
        </w:rPr>
        <w:t xml:space="preserve">словията за кандидатстване. </w:t>
      </w:r>
    </w:p>
    <w:p w14:paraId="1CF0E748" w14:textId="12A73477" w:rsidR="00895F31" w:rsidRDefault="007F6F54">
      <w:pPr>
        <w:pBdr>
          <w:top w:val="single" w:sz="4" w:space="1" w:color="auto"/>
          <w:left w:val="single" w:sz="4" w:space="4" w:color="auto"/>
          <w:bottom w:val="single" w:sz="4" w:space="1" w:color="auto"/>
          <w:right w:val="single" w:sz="4" w:space="0" w:color="auto"/>
        </w:pBdr>
        <w:tabs>
          <w:tab w:val="left" w:pos="0"/>
          <w:tab w:val="left" w:pos="709"/>
        </w:tabs>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11.2.2. </w:t>
      </w:r>
      <w:r w:rsidR="00045682">
        <w:rPr>
          <w:rFonts w:ascii="Times New Roman" w:hAnsi="Times New Roman" w:cs="Times New Roman"/>
          <w:sz w:val="24"/>
          <w:szCs w:val="24"/>
        </w:rPr>
        <w:t>Б</w:t>
      </w:r>
      <w:r w:rsidR="00045682" w:rsidRPr="00045682">
        <w:rPr>
          <w:rFonts w:ascii="Times New Roman" w:hAnsi="Times New Roman" w:cs="Times New Roman"/>
          <w:sz w:val="24"/>
          <w:szCs w:val="24"/>
        </w:rPr>
        <w:t xml:space="preserve">езвъзмездна финансова помощ не се предоставя на </w:t>
      </w:r>
      <w:r w:rsidR="00045682">
        <w:rPr>
          <w:rFonts w:ascii="Times New Roman" w:hAnsi="Times New Roman" w:cs="Times New Roman"/>
          <w:sz w:val="24"/>
          <w:szCs w:val="24"/>
        </w:rPr>
        <w:t>к</w:t>
      </w:r>
      <w:r w:rsidR="00E3112A" w:rsidRPr="00E3112A">
        <w:rPr>
          <w:rFonts w:ascii="Times New Roman" w:hAnsi="Times New Roman" w:cs="Times New Roman"/>
          <w:sz w:val="24"/>
          <w:szCs w:val="24"/>
        </w:rPr>
        <w:t>андидат/получател на финансова помощ</w:t>
      </w:r>
      <w:r w:rsidR="000228D8">
        <w:rPr>
          <w:rFonts w:ascii="Times New Roman" w:hAnsi="Times New Roman" w:cs="Times New Roman"/>
          <w:sz w:val="24"/>
          <w:szCs w:val="24"/>
        </w:rPr>
        <w:t>,</w:t>
      </w:r>
      <w:r w:rsidR="00E3112A" w:rsidRPr="00E3112A">
        <w:rPr>
          <w:rFonts w:ascii="Times New Roman" w:hAnsi="Times New Roman" w:cs="Times New Roman"/>
          <w:sz w:val="24"/>
          <w:szCs w:val="24"/>
        </w:rPr>
        <w:t xml:space="preserve"> по проекти към стратегиите за ВОМР</w:t>
      </w:r>
      <w:r w:rsidR="000228D8">
        <w:rPr>
          <w:rFonts w:ascii="Times New Roman" w:hAnsi="Times New Roman" w:cs="Times New Roman"/>
          <w:sz w:val="24"/>
          <w:szCs w:val="24"/>
        </w:rPr>
        <w:t>, различен от МИГ,</w:t>
      </w:r>
      <w:r w:rsidR="00E3112A" w:rsidRPr="00E3112A">
        <w:rPr>
          <w:rFonts w:ascii="Times New Roman" w:hAnsi="Times New Roman" w:cs="Times New Roman"/>
          <w:sz w:val="24"/>
          <w:szCs w:val="24"/>
        </w:rPr>
        <w:t xml:space="preserve"> </w:t>
      </w:r>
      <w:r w:rsidR="00045682">
        <w:rPr>
          <w:rFonts w:ascii="Times New Roman" w:hAnsi="Times New Roman" w:cs="Times New Roman"/>
          <w:sz w:val="24"/>
          <w:szCs w:val="24"/>
        </w:rPr>
        <w:t xml:space="preserve">за когото </w:t>
      </w:r>
      <w:r w:rsidR="00045682" w:rsidRPr="00045682">
        <w:rPr>
          <w:rFonts w:ascii="Times New Roman" w:hAnsi="Times New Roman" w:cs="Times New Roman"/>
          <w:sz w:val="24"/>
          <w:szCs w:val="24"/>
        </w:rPr>
        <w:t>са налице обстоятелства за отстраняване от участие в процедура за възлагане на обществена поръчка съгласно Закона за обществените поръчки</w:t>
      </w:r>
      <w:r w:rsidR="00CD6FAC">
        <w:rPr>
          <w:rFonts w:ascii="Times New Roman" w:hAnsi="Times New Roman" w:cs="Times New Roman"/>
          <w:sz w:val="24"/>
          <w:szCs w:val="24"/>
        </w:rPr>
        <w:t>,</w:t>
      </w:r>
      <w:r w:rsidR="00045682" w:rsidRPr="00045682">
        <w:rPr>
          <w:rFonts w:ascii="Times New Roman" w:hAnsi="Times New Roman" w:cs="Times New Roman"/>
          <w:sz w:val="24"/>
          <w:szCs w:val="24"/>
        </w:rPr>
        <w:t xml:space="preserve"> или ко</w:t>
      </w:r>
      <w:r w:rsidR="00045682">
        <w:rPr>
          <w:rFonts w:ascii="Times New Roman" w:hAnsi="Times New Roman" w:cs="Times New Roman"/>
          <w:sz w:val="24"/>
          <w:szCs w:val="24"/>
        </w:rPr>
        <w:t>й</w:t>
      </w:r>
      <w:r w:rsidR="00045682" w:rsidRPr="00045682">
        <w:rPr>
          <w:rFonts w:ascii="Times New Roman" w:hAnsi="Times New Roman" w:cs="Times New Roman"/>
          <w:sz w:val="24"/>
          <w:szCs w:val="24"/>
        </w:rPr>
        <w:t xml:space="preserve">то не </w:t>
      </w:r>
      <w:r w:rsidR="00045682">
        <w:rPr>
          <w:rFonts w:ascii="Times New Roman" w:hAnsi="Times New Roman" w:cs="Times New Roman"/>
          <w:sz w:val="24"/>
          <w:szCs w:val="24"/>
        </w:rPr>
        <w:t>е</w:t>
      </w:r>
      <w:r w:rsidR="00045682" w:rsidRPr="00045682">
        <w:rPr>
          <w:rFonts w:ascii="Times New Roman" w:hAnsi="Times New Roman" w:cs="Times New Roman"/>
          <w:sz w:val="24"/>
          <w:szCs w:val="24"/>
        </w:rPr>
        <w:t xml:space="preserve"> изпълнил разпореждане на Европейската комисия за възстановяване на предоставената им неправомерн</w:t>
      </w:r>
      <w:r w:rsidR="00CD6FAC">
        <w:rPr>
          <w:rFonts w:ascii="Times New Roman" w:hAnsi="Times New Roman" w:cs="Times New Roman"/>
          <w:sz w:val="24"/>
          <w:szCs w:val="24"/>
        </w:rPr>
        <w:t>а и несъвместима държавна помощ</w:t>
      </w:r>
      <w:r w:rsidR="007D4929">
        <w:rPr>
          <w:rFonts w:ascii="Times New Roman" w:hAnsi="Times New Roman" w:cs="Times New Roman"/>
          <w:sz w:val="24"/>
          <w:szCs w:val="24"/>
        </w:rPr>
        <w:t>,</w:t>
      </w:r>
      <w:r w:rsidR="00CD6FAC">
        <w:rPr>
          <w:rFonts w:ascii="Times New Roman" w:hAnsi="Times New Roman" w:cs="Times New Roman"/>
          <w:sz w:val="24"/>
          <w:szCs w:val="24"/>
        </w:rPr>
        <w:t xml:space="preserve"> и за който е налице конфликт на интереси по чл. 61 от </w:t>
      </w:r>
      <w:r w:rsidR="00CD6FAC" w:rsidRPr="00CD6FAC">
        <w:rPr>
          <w:rFonts w:ascii="Times New Roman" w:hAnsi="Times New Roman" w:cs="Times New Roman"/>
          <w:sz w:val="24"/>
          <w:szCs w:val="24"/>
        </w:rPr>
        <w:t>Регламент (ЕС, Евратом) 20</w:t>
      </w:r>
      <w:r w:rsidR="004A55D2">
        <w:rPr>
          <w:rFonts w:ascii="Times New Roman" w:hAnsi="Times New Roman" w:cs="Times New Roman"/>
          <w:sz w:val="24"/>
          <w:szCs w:val="24"/>
        </w:rPr>
        <w:t>25</w:t>
      </w:r>
      <w:r w:rsidR="00CD6FAC" w:rsidRPr="00CD6FAC">
        <w:rPr>
          <w:rFonts w:ascii="Times New Roman" w:hAnsi="Times New Roman" w:cs="Times New Roman"/>
          <w:sz w:val="24"/>
          <w:szCs w:val="24"/>
        </w:rPr>
        <w:t>/</w:t>
      </w:r>
      <w:r w:rsidR="004A55D2">
        <w:rPr>
          <w:rFonts w:ascii="Times New Roman" w:hAnsi="Times New Roman" w:cs="Times New Roman"/>
          <w:sz w:val="24"/>
          <w:szCs w:val="24"/>
        </w:rPr>
        <w:t>2509</w:t>
      </w:r>
      <w:r w:rsidR="00CD6FAC">
        <w:rPr>
          <w:rFonts w:ascii="Times New Roman" w:hAnsi="Times New Roman" w:cs="Times New Roman"/>
          <w:sz w:val="24"/>
          <w:szCs w:val="24"/>
        </w:rPr>
        <w:t>.</w:t>
      </w:r>
    </w:p>
    <w:p w14:paraId="047A174F" w14:textId="70A42EBB" w:rsidR="00895F31" w:rsidRPr="00895F31" w:rsidRDefault="00895F31" w:rsidP="00895F31">
      <w:pPr>
        <w:pBdr>
          <w:top w:val="single" w:sz="4" w:space="1" w:color="auto"/>
          <w:left w:val="single" w:sz="4" w:space="4" w:color="auto"/>
          <w:bottom w:val="single" w:sz="4" w:space="1" w:color="auto"/>
          <w:right w:val="single" w:sz="4" w:space="0" w:color="auto"/>
        </w:pBdr>
        <w:tabs>
          <w:tab w:val="left" w:pos="0"/>
          <w:tab w:val="left" w:pos="709"/>
        </w:tabs>
        <w:spacing w:after="0"/>
        <w:ind w:firstLine="567"/>
        <w:contextualSpacing/>
        <w:jc w:val="both"/>
        <w:rPr>
          <w:rFonts w:ascii="Times New Roman" w:hAnsi="Times New Roman" w:cs="Times New Roman"/>
          <w:sz w:val="24"/>
          <w:szCs w:val="24"/>
        </w:rPr>
      </w:pPr>
      <w:r w:rsidRPr="00895F31">
        <w:rPr>
          <w:rFonts w:ascii="Times New Roman" w:hAnsi="Times New Roman" w:cs="Times New Roman"/>
          <w:sz w:val="24"/>
          <w:szCs w:val="24"/>
        </w:rPr>
        <w:t xml:space="preserve">Липсата на посочените обстоятелства се доказва с декларация към момента на кандидатстване съгласно приложение № </w:t>
      </w:r>
      <w:r w:rsidR="001034C2">
        <w:rPr>
          <w:rFonts w:ascii="Times New Roman" w:hAnsi="Times New Roman" w:cs="Times New Roman"/>
          <w:sz w:val="24"/>
          <w:szCs w:val="24"/>
        </w:rPr>
        <w:t>7</w:t>
      </w:r>
      <w:r w:rsidRPr="00895F31">
        <w:rPr>
          <w:rFonts w:ascii="Times New Roman" w:hAnsi="Times New Roman" w:cs="Times New Roman"/>
          <w:sz w:val="24"/>
          <w:szCs w:val="24"/>
        </w:rPr>
        <w:t xml:space="preserve"> от </w:t>
      </w:r>
      <w:r w:rsidR="00011782">
        <w:rPr>
          <w:rFonts w:ascii="Times New Roman" w:hAnsi="Times New Roman" w:cs="Times New Roman"/>
          <w:sz w:val="24"/>
          <w:szCs w:val="24"/>
        </w:rPr>
        <w:t>У</w:t>
      </w:r>
      <w:r w:rsidRPr="00895F31">
        <w:rPr>
          <w:rFonts w:ascii="Times New Roman" w:hAnsi="Times New Roman" w:cs="Times New Roman"/>
          <w:sz w:val="24"/>
          <w:szCs w:val="24"/>
        </w:rPr>
        <w:t xml:space="preserve">словията за </w:t>
      </w:r>
      <w:r w:rsidR="001034C2">
        <w:rPr>
          <w:rFonts w:ascii="Times New Roman" w:hAnsi="Times New Roman" w:cs="Times New Roman"/>
          <w:sz w:val="24"/>
          <w:szCs w:val="24"/>
        </w:rPr>
        <w:t>изпълнение</w:t>
      </w:r>
      <w:r w:rsidRPr="00895F31">
        <w:rPr>
          <w:rFonts w:ascii="Times New Roman" w:hAnsi="Times New Roman" w:cs="Times New Roman"/>
          <w:sz w:val="24"/>
          <w:szCs w:val="24"/>
        </w:rPr>
        <w:t xml:space="preserve">. </w:t>
      </w:r>
    </w:p>
    <w:p w14:paraId="477942F0" w14:textId="77777777" w:rsidR="004F6740" w:rsidRPr="00FB202F" w:rsidRDefault="004F6740" w:rsidP="007541D6">
      <w:pPr>
        <w:widowControl w:val="0"/>
        <w:pBdr>
          <w:top w:val="single" w:sz="4" w:space="1" w:color="auto"/>
          <w:left w:val="single" w:sz="4" w:space="4" w:color="auto"/>
          <w:bottom w:val="single" w:sz="4" w:space="1" w:color="auto"/>
          <w:right w:val="single" w:sz="4" w:space="0" w:color="auto"/>
        </w:pBdr>
        <w:autoSpaceDE w:val="0"/>
        <w:autoSpaceDN w:val="0"/>
        <w:adjustRightInd w:val="0"/>
        <w:spacing w:after="0"/>
        <w:ind w:firstLine="567"/>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FB202F" w:rsidRPr="00FB202F" w14:paraId="08AD74D9" w14:textId="77777777" w:rsidTr="000D7565">
        <w:tc>
          <w:tcPr>
            <w:tcW w:w="9781" w:type="dxa"/>
          </w:tcPr>
          <w:p w14:paraId="0E82C5A0" w14:textId="5A5685C7" w:rsidR="00AF3C4D" w:rsidRPr="0060581B" w:rsidRDefault="003935EC" w:rsidP="007541D6">
            <w:pPr>
              <w:pStyle w:val="ListParagraph"/>
              <w:numPr>
                <w:ilvl w:val="0"/>
                <w:numId w:val="1"/>
              </w:numPr>
              <w:tabs>
                <w:tab w:val="left" w:pos="0"/>
                <w:tab w:val="left" w:pos="709"/>
              </w:tabs>
              <w:spacing w:line="276" w:lineRule="auto"/>
              <w:ind w:left="0" w:firstLine="567"/>
              <w:jc w:val="both"/>
              <w:rPr>
                <w:rFonts w:ascii="Times New Roman" w:hAnsi="Times New Roman" w:cs="Times New Roman"/>
                <w:sz w:val="24"/>
                <w:szCs w:val="24"/>
                <w:shd w:val="clear" w:color="auto" w:fill="FEFEFE"/>
              </w:rPr>
            </w:pPr>
            <w:r w:rsidRPr="0060581B">
              <w:rPr>
                <w:rFonts w:ascii="Times New Roman" w:hAnsi="Times New Roman" w:cs="Times New Roman"/>
                <w:b/>
                <w:sz w:val="24"/>
                <w:szCs w:val="24"/>
              </w:rPr>
              <w:t>Допустими партньори:</w:t>
            </w:r>
            <w:r w:rsidR="00AF3C4D" w:rsidRPr="0060581B">
              <w:rPr>
                <w:rFonts w:ascii="Times New Roman" w:hAnsi="Times New Roman" w:cs="Times New Roman"/>
                <w:b/>
                <w:sz w:val="24"/>
                <w:szCs w:val="24"/>
              </w:rPr>
              <w:t xml:space="preserve"> </w:t>
            </w:r>
          </w:p>
          <w:p w14:paraId="49B39023" w14:textId="1CBA3478" w:rsidR="003935EC" w:rsidRPr="00FB202F" w:rsidRDefault="00AF3C4D" w:rsidP="00044F85">
            <w:pPr>
              <w:spacing w:line="276" w:lineRule="auto"/>
              <w:ind w:firstLine="567"/>
              <w:jc w:val="both"/>
              <w:rPr>
                <w:rFonts w:ascii="Times New Roman" w:hAnsi="Times New Roman" w:cs="Times New Roman"/>
                <w:sz w:val="24"/>
                <w:szCs w:val="24"/>
                <w:highlight w:val="yellow"/>
                <w:shd w:val="clear" w:color="auto" w:fill="FEFEFE"/>
              </w:rPr>
            </w:pPr>
            <w:r w:rsidRPr="00FB202F">
              <w:rPr>
                <w:rFonts w:ascii="Times New Roman" w:hAnsi="Times New Roman" w:cs="Times New Roman"/>
                <w:sz w:val="24"/>
                <w:szCs w:val="24"/>
              </w:rPr>
              <w:t>НЕПРИЛОЖИМО</w:t>
            </w:r>
            <w:r w:rsidR="003935EC" w:rsidRPr="00FB202F">
              <w:rPr>
                <w:rFonts w:ascii="Times New Roman" w:hAnsi="Times New Roman" w:cs="Times New Roman"/>
                <w:sz w:val="24"/>
                <w:szCs w:val="24"/>
                <w:shd w:val="clear" w:color="auto" w:fill="FEFEFE"/>
              </w:rPr>
              <w:t xml:space="preserve"> </w:t>
            </w:r>
          </w:p>
        </w:tc>
      </w:tr>
    </w:tbl>
    <w:p w14:paraId="01684C0D"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50AB1442" w14:textId="77777777" w:rsidTr="000D7565">
        <w:tc>
          <w:tcPr>
            <w:tcW w:w="9781" w:type="dxa"/>
          </w:tcPr>
          <w:p w14:paraId="193A5070" w14:textId="36F81460" w:rsidR="003935EC" w:rsidRPr="00FB202F" w:rsidRDefault="004E556D" w:rsidP="00044F85">
            <w:pPr>
              <w:numPr>
                <w:ilvl w:val="0"/>
                <w:numId w:val="1"/>
              </w:numPr>
              <w:tabs>
                <w:tab w:val="left" w:pos="0"/>
                <w:tab w:val="left" w:pos="991"/>
              </w:tabs>
              <w:spacing w:line="276" w:lineRule="auto"/>
              <w:ind w:left="0" w:firstLine="567"/>
              <w:contextualSpacing/>
              <w:jc w:val="both"/>
              <w:rPr>
                <w:rFonts w:ascii="Times New Roman" w:hAnsi="Times New Roman" w:cs="Times New Roman"/>
                <w:b/>
                <w:sz w:val="24"/>
                <w:szCs w:val="24"/>
              </w:rPr>
            </w:pPr>
            <w:r>
              <w:rPr>
                <w:rFonts w:ascii="Times New Roman" w:hAnsi="Times New Roman" w:cs="Times New Roman"/>
                <w:b/>
                <w:sz w:val="24"/>
                <w:szCs w:val="24"/>
              </w:rPr>
              <w:t>Допустимост на стратегиите, мерките и д</w:t>
            </w:r>
            <w:r w:rsidR="003935EC" w:rsidRPr="00FB202F">
              <w:rPr>
                <w:rFonts w:ascii="Times New Roman" w:hAnsi="Times New Roman" w:cs="Times New Roman"/>
                <w:b/>
                <w:sz w:val="24"/>
                <w:szCs w:val="24"/>
              </w:rPr>
              <w:t>ейности</w:t>
            </w:r>
            <w:r>
              <w:rPr>
                <w:rFonts w:ascii="Times New Roman" w:hAnsi="Times New Roman" w:cs="Times New Roman"/>
                <w:b/>
                <w:sz w:val="24"/>
                <w:szCs w:val="24"/>
              </w:rPr>
              <w:t>те</w:t>
            </w:r>
          </w:p>
          <w:p w14:paraId="4BAC97B7" w14:textId="48DD8883" w:rsidR="00AE1C02" w:rsidRPr="00FB202F" w:rsidRDefault="00614E01" w:rsidP="007541D6">
            <w:pPr>
              <w:pStyle w:val="Heading1"/>
              <w:spacing w:line="276" w:lineRule="auto"/>
              <w:ind w:firstLine="567"/>
              <w:outlineLvl w:val="0"/>
              <w:rPr>
                <w:rFonts w:ascii="Times New Roman" w:hAnsi="Times New Roman"/>
                <w:b w:val="0"/>
                <w:sz w:val="24"/>
                <w:szCs w:val="24"/>
              </w:rPr>
            </w:pPr>
            <w:r>
              <w:rPr>
                <w:rFonts w:ascii="Times New Roman" w:hAnsi="Times New Roman"/>
                <w:sz w:val="24"/>
                <w:szCs w:val="24"/>
              </w:rPr>
              <w:t xml:space="preserve">13.1. </w:t>
            </w:r>
            <w:r w:rsidR="00AE1C02" w:rsidRPr="00FB202F">
              <w:rPr>
                <w:rFonts w:ascii="Times New Roman" w:hAnsi="Times New Roman"/>
                <w:sz w:val="24"/>
                <w:szCs w:val="24"/>
              </w:rPr>
              <w:t>Условия за допустимост на стратегии за ВОМР</w:t>
            </w:r>
          </w:p>
          <w:p w14:paraId="33F15E8E" w14:textId="77777777" w:rsidR="00731165" w:rsidRPr="00FB202F" w:rsidRDefault="00731165" w:rsidP="00044F85">
            <w:pPr>
              <w:widowControl w:val="0"/>
              <w:tabs>
                <w:tab w:val="left" w:pos="0"/>
              </w:tabs>
              <w:autoSpaceDE w:val="0"/>
              <w:autoSpaceDN w:val="0"/>
              <w:adjustRightInd w:val="0"/>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За да бъде одобрена стратегията, тя трябва да отговаря на следните условия:</w:t>
            </w:r>
          </w:p>
          <w:p w14:paraId="49F86DB5" w14:textId="65A1BA1C" w:rsidR="00365AA7" w:rsidRPr="00FB202F" w:rsidRDefault="00B32367" w:rsidP="007541D6">
            <w:pPr>
              <w:pStyle w:val="ListParagraph"/>
              <w:widowControl w:val="0"/>
              <w:numPr>
                <w:ilvl w:val="2"/>
                <w:numId w:val="26"/>
              </w:numPr>
              <w:tabs>
                <w:tab w:val="left" w:pos="0"/>
              </w:tabs>
              <w:autoSpaceDE w:val="0"/>
              <w:autoSpaceDN w:val="0"/>
              <w:adjustRightInd w:val="0"/>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Да е</w:t>
            </w:r>
            <w:r w:rsidR="00731165" w:rsidRPr="00FB202F">
              <w:rPr>
                <w:rFonts w:ascii="Times New Roman" w:hAnsi="Times New Roman" w:cs="Times New Roman"/>
                <w:sz w:val="24"/>
                <w:szCs w:val="24"/>
              </w:rPr>
              <w:t xml:space="preserve"> </w:t>
            </w:r>
            <w:r w:rsidRPr="00FB202F">
              <w:rPr>
                <w:rFonts w:ascii="Times New Roman" w:hAnsi="Times New Roman" w:cs="Times New Roman"/>
                <w:sz w:val="24"/>
                <w:szCs w:val="24"/>
              </w:rPr>
              <w:t xml:space="preserve">разработена </w:t>
            </w:r>
            <w:r w:rsidR="00731165" w:rsidRPr="00FB202F">
              <w:rPr>
                <w:rFonts w:ascii="Times New Roman" w:hAnsi="Times New Roman" w:cs="Times New Roman"/>
                <w:sz w:val="24"/>
                <w:szCs w:val="24"/>
              </w:rPr>
              <w:t xml:space="preserve">по образец съгласно приложение </w:t>
            </w:r>
            <w:r w:rsidR="00731165" w:rsidRPr="002F2814">
              <w:rPr>
                <w:rFonts w:ascii="Times New Roman" w:hAnsi="Times New Roman" w:cs="Times New Roman"/>
                <w:sz w:val="24"/>
                <w:szCs w:val="24"/>
              </w:rPr>
              <w:t>№</w:t>
            </w:r>
            <w:r w:rsidR="006A6A83" w:rsidRPr="002F2814">
              <w:rPr>
                <w:rFonts w:ascii="Times New Roman" w:hAnsi="Times New Roman" w:cs="Times New Roman"/>
                <w:sz w:val="24"/>
                <w:szCs w:val="24"/>
              </w:rPr>
              <w:t xml:space="preserve"> </w:t>
            </w:r>
            <w:r w:rsidR="00AA3C3C">
              <w:rPr>
                <w:rFonts w:ascii="Times New Roman" w:hAnsi="Times New Roman" w:cs="Times New Roman"/>
                <w:sz w:val="24"/>
                <w:szCs w:val="24"/>
              </w:rPr>
              <w:t>2</w:t>
            </w:r>
            <w:r w:rsidR="002974F6">
              <w:rPr>
                <w:rFonts w:ascii="Times New Roman" w:hAnsi="Times New Roman" w:cs="Times New Roman"/>
                <w:sz w:val="24"/>
                <w:szCs w:val="24"/>
              </w:rPr>
              <w:t xml:space="preserve"> </w:t>
            </w:r>
            <w:r w:rsidR="00EA7D81" w:rsidRPr="00FB202F">
              <w:rPr>
                <w:rFonts w:ascii="Times New Roman" w:hAnsi="Times New Roman" w:cs="Times New Roman"/>
                <w:sz w:val="24"/>
                <w:szCs w:val="24"/>
              </w:rPr>
              <w:t xml:space="preserve">за </w:t>
            </w:r>
            <w:r w:rsidR="00731165" w:rsidRPr="00FB202F">
              <w:rPr>
                <w:rFonts w:ascii="Times New Roman" w:hAnsi="Times New Roman" w:cs="Times New Roman"/>
                <w:sz w:val="24"/>
                <w:szCs w:val="24"/>
              </w:rPr>
              <w:t xml:space="preserve">период до 31 декември 2027 г. </w:t>
            </w:r>
            <w:r w:rsidR="00365AA7" w:rsidRPr="00FB202F">
              <w:rPr>
                <w:rFonts w:ascii="Times New Roman" w:hAnsi="Times New Roman" w:cs="Times New Roman"/>
                <w:sz w:val="24"/>
                <w:szCs w:val="24"/>
              </w:rPr>
              <w:t xml:space="preserve">и съдържа следните задължителни елементи: </w:t>
            </w:r>
          </w:p>
          <w:p w14:paraId="5A958554" w14:textId="77777777" w:rsidR="00365AA7" w:rsidRPr="00FB202F" w:rsidRDefault="00365AA7" w:rsidP="007541D6">
            <w:pPr>
              <w:pStyle w:val="ListParagraph"/>
              <w:widowControl w:val="0"/>
              <w:tabs>
                <w:tab w:val="left" w:pos="0"/>
              </w:tabs>
              <w:autoSpaceDE w:val="0"/>
              <w:autoSpaceDN w:val="0"/>
              <w:adjustRightInd w:val="0"/>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а) географският район и населението, обхванати от стратегията; </w:t>
            </w:r>
          </w:p>
          <w:p w14:paraId="3528D9C8" w14:textId="77777777" w:rsidR="00365AA7" w:rsidRPr="00FB202F" w:rsidRDefault="00365AA7" w:rsidP="007541D6">
            <w:pPr>
              <w:pStyle w:val="ListParagraph"/>
              <w:widowControl w:val="0"/>
              <w:tabs>
                <w:tab w:val="left" w:pos="0"/>
              </w:tabs>
              <w:autoSpaceDE w:val="0"/>
              <w:autoSpaceDN w:val="0"/>
              <w:adjustRightInd w:val="0"/>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б) процесът на участие на общността в разработването на стратегията; </w:t>
            </w:r>
          </w:p>
          <w:p w14:paraId="7B37A791" w14:textId="77777777" w:rsidR="00365AA7" w:rsidRPr="00FB202F" w:rsidRDefault="00365AA7" w:rsidP="007541D6">
            <w:pPr>
              <w:pStyle w:val="ListParagraph"/>
              <w:widowControl w:val="0"/>
              <w:tabs>
                <w:tab w:val="left" w:pos="0"/>
              </w:tabs>
              <w:autoSpaceDE w:val="0"/>
              <w:autoSpaceDN w:val="0"/>
              <w:adjustRightInd w:val="0"/>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в) анализ на нуждите и потенциала за развитие на района; </w:t>
            </w:r>
          </w:p>
          <w:p w14:paraId="212464AE" w14:textId="557ACC95" w:rsidR="00365AA7" w:rsidRPr="00FB202F" w:rsidRDefault="00365AA7" w:rsidP="007541D6">
            <w:pPr>
              <w:pStyle w:val="ListParagraph"/>
              <w:widowControl w:val="0"/>
              <w:tabs>
                <w:tab w:val="left" w:pos="0"/>
              </w:tabs>
              <w:autoSpaceDE w:val="0"/>
              <w:autoSpaceDN w:val="0"/>
              <w:adjustRightInd w:val="0"/>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г) целите на стратегията, включително измерими целеви стойности за резултатите, и съответните планирани действия</w:t>
            </w:r>
            <w:r w:rsidR="00A85CD4">
              <w:rPr>
                <w:rFonts w:ascii="Times New Roman" w:hAnsi="Times New Roman" w:cs="Times New Roman"/>
                <w:sz w:val="24"/>
                <w:szCs w:val="24"/>
              </w:rPr>
              <w:t xml:space="preserve"> </w:t>
            </w:r>
            <w:r w:rsidR="00A85CD4">
              <w:rPr>
                <w:rFonts w:ascii="Times New Roman" w:hAnsi="Times New Roman" w:cs="Times New Roman"/>
                <w:sz w:val="24"/>
                <w:szCs w:val="24"/>
                <w:lang w:val="en-US"/>
              </w:rPr>
              <w:t>(</w:t>
            </w:r>
            <w:r w:rsidR="00A85CD4">
              <w:rPr>
                <w:rFonts w:ascii="Times New Roman" w:hAnsi="Times New Roman" w:cs="Times New Roman"/>
                <w:sz w:val="24"/>
                <w:szCs w:val="24"/>
              </w:rPr>
              <w:t>мерки</w:t>
            </w:r>
            <w:r w:rsidR="00A85CD4">
              <w:rPr>
                <w:rFonts w:ascii="Times New Roman" w:hAnsi="Times New Roman" w:cs="Times New Roman"/>
                <w:sz w:val="24"/>
                <w:szCs w:val="24"/>
                <w:lang w:val="en-US"/>
              </w:rPr>
              <w:t>)</w:t>
            </w:r>
            <w:r w:rsidRPr="00FB202F">
              <w:rPr>
                <w:rFonts w:ascii="Times New Roman" w:hAnsi="Times New Roman" w:cs="Times New Roman"/>
                <w:sz w:val="24"/>
                <w:szCs w:val="24"/>
              </w:rPr>
              <w:t xml:space="preserve">; </w:t>
            </w:r>
          </w:p>
          <w:p w14:paraId="0C373C8F" w14:textId="77777777" w:rsidR="00365AA7" w:rsidRPr="00FB202F" w:rsidRDefault="00365AA7" w:rsidP="007541D6">
            <w:pPr>
              <w:pStyle w:val="ListParagraph"/>
              <w:widowControl w:val="0"/>
              <w:tabs>
                <w:tab w:val="left" w:pos="0"/>
              </w:tabs>
              <w:autoSpaceDE w:val="0"/>
              <w:autoSpaceDN w:val="0"/>
              <w:adjustRightInd w:val="0"/>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д) уредбата за управление, мониторинг и оценка, която показва капацитета на местната инициативна група да изпълни стратегията; </w:t>
            </w:r>
          </w:p>
          <w:p w14:paraId="3E1AE928" w14:textId="4E158A69" w:rsidR="00365AA7" w:rsidRPr="00FB202F" w:rsidRDefault="00365AA7" w:rsidP="007541D6">
            <w:pPr>
              <w:pStyle w:val="ListParagraph"/>
              <w:widowControl w:val="0"/>
              <w:tabs>
                <w:tab w:val="left" w:pos="0"/>
              </w:tabs>
              <w:autoSpaceDE w:val="0"/>
              <w:autoSpaceDN w:val="0"/>
              <w:adjustRightInd w:val="0"/>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е) финансов план</w:t>
            </w:r>
            <w:r w:rsidR="007D1BD7">
              <w:rPr>
                <w:rFonts w:ascii="Times New Roman" w:hAnsi="Times New Roman" w:cs="Times New Roman"/>
                <w:sz w:val="24"/>
                <w:szCs w:val="24"/>
              </w:rPr>
              <w:t xml:space="preserve"> за</w:t>
            </w:r>
            <w:r w:rsidRPr="00FB202F">
              <w:rPr>
                <w:rFonts w:ascii="Times New Roman" w:hAnsi="Times New Roman" w:cs="Times New Roman"/>
                <w:sz w:val="24"/>
                <w:szCs w:val="24"/>
              </w:rPr>
              <w:t xml:space="preserve"> планираните средства от </w:t>
            </w:r>
            <w:r w:rsidR="007D1BD7">
              <w:rPr>
                <w:rFonts w:ascii="Times New Roman" w:hAnsi="Times New Roman" w:cs="Times New Roman"/>
                <w:sz w:val="24"/>
                <w:szCs w:val="24"/>
              </w:rPr>
              <w:t>ЕЗФРСР</w:t>
            </w:r>
            <w:r w:rsidRPr="00FB202F">
              <w:rPr>
                <w:rFonts w:ascii="Times New Roman" w:hAnsi="Times New Roman" w:cs="Times New Roman"/>
                <w:sz w:val="24"/>
                <w:szCs w:val="24"/>
              </w:rPr>
              <w:t>.</w:t>
            </w:r>
          </w:p>
          <w:p w14:paraId="21A2F12E" w14:textId="06F5ED11" w:rsidR="00731165" w:rsidRPr="00FB202F" w:rsidRDefault="00A05C3A" w:rsidP="007541D6">
            <w:pPr>
              <w:pStyle w:val="ListParagraph"/>
              <w:widowControl w:val="0"/>
              <w:tabs>
                <w:tab w:val="left" w:pos="0"/>
              </w:tabs>
              <w:autoSpaceDE w:val="0"/>
              <w:autoSpaceDN w:val="0"/>
              <w:adjustRightInd w:val="0"/>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13.1.2. </w:t>
            </w:r>
            <w:r w:rsidR="00836711" w:rsidRPr="00FB202F">
              <w:rPr>
                <w:rFonts w:ascii="Times New Roman" w:hAnsi="Times New Roman" w:cs="Times New Roman"/>
                <w:sz w:val="24"/>
                <w:szCs w:val="24"/>
              </w:rPr>
              <w:t>Д</w:t>
            </w:r>
            <w:r w:rsidR="00731165" w:rsidRPr="00FB202F">
              <w:rPr>
                <w:rFonts w:ascii="Times New Roman" w:hAnsi="Times New Roman" w:cs="Times New Roman"/>
                <w:sz w:val="24"/>
                <w:szCs w:val="24"/>
              </w:rPr>
              <w:t>а е одобрен</w:t>
            </w:r>
            <w:r w:rsidR="00836711" w:rsidRPr="00FB202F">
              <w:rPr>
                <w:rFonts w:ascii="Times New Roman" w:hAnsi="Times New Roman" w:cs="Times New Roman"/>
                <w:sz w:val="24"/>
                <w:szCs w:val="24"/>
              </w:rPr>
              <w:t>а</w:t>
            </w:r>
            <w:r w:rsidR="00731165" w:rsidRPr="00FB202F">
              <w:rPr>
                <w:rFonts w:ascii="Times New Roman" w:hAnsi="Times New Roman" w:cs="Times New Roman"/>
                <w:sz w:val="24"/>
                <w:szCs w:val="24"/>
              </w:rPr>
              <w:t xml:space="preserve"> от колективния върховен орган на МИГ </w:t>
            </w:r>
            <w:r w:rsidR="006A6A83" w:rsidRPr="00FB202F">
              <w:rPr>
                <w:rFonts w:ascii="Times New Roman" w:hAnsi="Times New Roman" w:cs="Times New Roman"/>
                <w:sz w:val="24"/>
                <w:szCs w:val="24"/>
              </w:rPr>
              <w:t>след публично проведени консултации, обсъждания, информационни срещи и др. със заинтересованите страни от територията на бъдещото й прилагане. Местните инициативни групи задължително провеждат процедура по обществено обсъждане, като при подаването на формуляра за кандидатстване прилагат и съответните документи</w:t>
            </w:r>
            <w:r w:rsidR="00D51EE2" w:rsidRPr="00FB202F">
              <w:rPr>
                <w:rFonts w:ascii="Times New Roman" w:hAnsi="Times New Roman" w:cs="Times New Roman"/>
                <w:sz w:val="24"/>
                <w:szCs w:val="24"/>
              </w:rPr>
              <w:t xml:space="preserve">, </w:t>
            </w:r>
            <w:r w:rsidR="006A6A83" w:rsidRPr="00FB202F">
              <w:rPr>
                <w:rFonts w:ascii="Times New Roman" w:hAnsi="Times New Roman" w:cs="Times New Roman"/>
                <w:sz w:val="24"/>
                <w:szCs w:val="24"/>
              </w:rPr>
              <w:t>доказ</w:t>
            </w:r>
            <w:r w:rsidR="00D51EE2" w:rsidRPr="00FB202F">
              <w:rPr>
                <w:rFonts w:ascii="Times New Roman" w:hAnsi="Times New Roman" w:cs="Times New Roman"/>
                <w:sz w:val="24"/>
                <w:szCs w:val="24"/>
              </w:rPr>
              <w:t>в</w:t>
            </w:r>
            <w:r w:rsidR="006A6A83" w:rsidRPr="00FB202F">
              <w:rPr>
                <w:rFonts w:ascii="Times New Roman" w:hAnsi="Times New Roman" w:cs="Times New Roman"/>
                <w:sz w:val="24"/>
                <w:szCs w:val="24"/>
              </w:rPr>
              <w:t>а</w:t>
            </w:r>
            <w:r w:rsidR="00D51EE2" w:rsidRPr="00FB202F">
              <w:rPr>
                <w:rFonts w:ascii="Times New Roman" w:hAnsi="Times New Roman" w:cs="Times New Roman"/>
                <w:sz w:val="24"/>
                <w:szCs w:val="24"/>
              </w:rPr>
              <w:t>щи проведеното</w:t>
            </w:r>
            <w:r w:rsidR="006A6A83" w:rsidRPr="00FB202F">
              <w:rPr>
                <w:rFonts w:ascii="Times New Roman" w:hAnsi="Times New Roman" w:cs="Times New Roman"/>
                <w:sz w:val="24"/>
                <w:szCs w:val="24"/>
              </w:rPr>
              <w:t xml:space="preserve"> обсъждане</w:t>
            </w:r>
            <w:r w:rsidR="00005F46" w:rsidRPr="00FB202F">
              <w:rPr>
                <w:rFonts w:ascii="Times New Roman" w:hAnsi="Times New Roman" w:cs="Times New Roman"/>
                <w:sz w:val="24"/>
                <w:szCs w:val="24"/>
              </w:rPr>
              <w:t xml:space="preserve"> </w:t>
            </w:r>
            <w:r w:rsidR="000E0C05">
              <w:rPr>
                <w:rFonts w:ascii="Times New Roman" w:hAnsi="Times New Roman" w:cs="Times New Roman"/>
                <w:sz w:val="24"/>
                <w:szCs w:val="24"/>
              </w:rPr>
              <w:t>съгласно Раздел 24 от настоящите условия</w:t>
            </w:r>
            <w:r w:rsidR="00DE42D3">
              <w:rPr>
                <w:rFonts w:ascii="Times New Roman" w:hAnsi="Times New Roman" w:cs="Times New Roman"/>
                <w:sz w:val="24"/>
                <w:szCs w:val="24"/>
              </w:rPr>
              <w:t xml:space="preserve"> за кандидатстване</w:t>
            </w:r>
            <w:r w:rsidR="000E0C05">
              <w:rPr>
                <w:rFonts w:ascii="Times New Roman" w:hAnsi="Times New Roman" w:cs="Times New Roman"/>
                <w:sz w:val="24"/>
                <w:szCs w:val="24"/>
              </w:rPr>
              <w:t xml:space="preserve">. </w:t>
            </w:r>
          </w:p>
          <w:p w14:paraId="4963E435" w14:textId="77D33BC7" w:rsidR="006A6A83" w:rsidRPr="00FB202F" w:rsidRDefault="00836711" w:rsidP="007541D6">
            <w:pPr>
              <w:pStyle w:val="ListParagraph"/>
              <w:widowControl w:val="0"/>
              <w:numPr>
                <w:ilvl w:val="2"/>
                <w:numId w:val="27"/>
              </w:numPr>
              <w:tabs>
                <w:tab w:val="left" w:pos="0"/>
              </w:tabs>
              <w:autoSpaceDE w:val="0"/>
              <w:autoSpaceDN w:val="0"/>
              <w:adjustRightInd w:val="0"/>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Д</w:t>
            </w:r>
            <w:r w:rsidR="006A6A83" w:rsidRPr="00FB202F">
              <w:rPr>
                <w:rFonts w:ascii="Times New Roman" w:hAnsi="Times New Roman" w:cs="Times New Roman"/>
                <w:sz w:val="24"/>
                <w:szCs w:val="24"/>
              </w:rPr>
              <w:t xml:space="preserve">а </w:t>
            </w:r>
            <w:r w:rsidRPr="00FB202F">
              <w:rPr>
                <w:rFonts w:ascii="Times New Roman" w:hAnsi="Times New Roman" w:cs="Times New Roman"/>
                <w:sz w:val="24"/>
                <w:szCs w:val="24"/>
              </w:rPr>
              <w:t xml:space="preserve">е </w:t>
            </w:r>
            <w:r w:rsidR="006A6A83" w:rsidRPr="00FB202F">
              <w:rPr>
                <w:rFonts w:ascii="Times New Roman" w:hAnsi="Times New Roman" w:cs="Times New Roman"/>
                <w:sz w:val="24"/>
                <w:szCs w:val="24"/>
              </w:rPr>
              <w:t>съгласуван</w:t>
            </w:r>
            <w:r w:rsidRPr="00FB202F">
              <w:rPr>
                <w:rFonts w:ascii="Times New Roman" w:hAnsi="Times New Roman" w:cs="Times New Roman"/>
                <w:sz w:val="24"/>
                <w:szCs w:val="24"/>
              </w:rPr>
              <w:t>а</w:t>
            </w:r>
            <w:r w:rsidR="006A6A83" w:rsidRPr="00FB202F">
              <w:rPr>
                <w:rFonts w:ascii="Times New Roman" w:hAnsi="Times New Roman" w:cs="Times New Roman"/>
                <w:sz w:val="24"/>
                <w:szCs w:val="24"/>
              </w:rPr>
              <w:t xml:space="preserve"> с Регионалната инспекция по околната среда и водите</w:t>
            </w:r>
            <w:r w:rsidR="00D51EE2" w:rsidRPr="00FB202F">
              <w:rPr>
                <w:rFonts w:ascii="Times New Roman" w:hAnsi="Times New Roman" w:cs="Times New Roman"/>
                <w:sz w:val="24"/>
                <w:szCs w:val="24"/>
              </w:rPr>
              <w:t>,</w:t>
            </w:r>
            <w:r w:rsidR="006A6A83" w:rsidRPr="00FB202F">
              <w:rPr>
                <w:rFonts w:ascii="Times New Roman" w:hAnsi="Times New Roman" w:cs="Times New Roman"/>
                <w:sz w:val="24"/>
                <w:szCs w:val="24"/>
              </w:rPr>
              <w:t xml:space="preserve"> </w:t>
            </w:r>
            <w:r w:rsidR="00D51EE2" w:rsidRPr="00FB202F">
              <w:rPr>
                <w:rFonts w:ascii="Times New Roman" w:hAnsi="Times New Roman" w:cs="Times New Roman"/>
                <w:sz w:val="24"/>
                <w:szCs w:val="24"/>
              </w:rPr>
              <w:lastRenderedPageBreak/>
              <w:t xml:space="preserve">удостоверено </w:t>
            </w:r>
            <w:r w:rsidR="006A6A83" w:rsidRPr="00FB202F">
              <w:rPr>
                <w:rFonts w:ascii="Times New Roman" w:hAnsi="Times New Roman" w:cs="Times New Roman"/>
                <w:sz w:val="24"/>
                <w:szCs w:val="24"/>
              </w:rPr>
              <w:t>с издадено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r w:rsidR="00D51EE2" w:rsidRPr="00FB202F">
              <w:rPr>
                <w:rFonts w:ascii="Times New Roman" w:hAnsi="Times New Roman" w:cs="Times New Roman"/>
                <w:sz w:val="24"/>
                <w:szCs w:val="24"/>
              </w:rPr>
              <w:t xml:space="preserve"> (МОСВ)</w:t>
            </w:r>
            <w:r w:rsidR="006A6A83" w:rsidRPr="00FB202F">
              <w:rPr>
                <w:rFonts w:ascii="Times New Roman" w:hAnsi="Times New Roman" w:cs="Times New Roman"/>
                <w:sz w:val="24"/>
                <w:szCs w:val="24"/>
              </w:rPr>
              <w:t xml:space="preserve">/Басейнова дирекция), издадени по реда на Закона за опазване на околната среда, Закона за биологичното разнообразие и/или Закона за водите. В случай на стратегии за ВОМР, попадащи в обхвата на повече от една РИОСВ, МИГ следва да представи документ за съгласуване на стратегията от МОСВ.  </w:t>
            </w:r>
          </w:p>
          <w:p w14:paraId="3847B3FC" w14:textId="663282F6" w:rsidR="003B5E88" w:rsidRPr="00FB202F" w:rsidRDefault="00836711" w:rsidP="007541D6">
            <w:pPr>
              <w:pStyle w:val="ListParagraph"/>
              <w:widowControl w:val="0"/>
              <w:numPr>
                <w:ilvl w:val="2"/>
                <w:numId w:val="27"/>
              </w:numPr>
              <w:tabs>
                <w:tab w:val="left" w:pos="0"/>
              </w:tabs>
              <w:autoSpaceDE w:val="0"/>
              <w:autoSpaceDN w:val="0"/>
              <w:adjustRightInd w:val="0"/>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Да</w:t>
            </w:r>
            <w:r w:rsidR="006A6A83" w:rsidRPr="00FB202F">
              <w:rPr>
                <w:rFonts w:ascii="Times New Roman" w:hAnsi="Times New Roman" w:cs="Times New Roman"/>
                <w:sz w:val="24"/>
                <w:szCs w:val="24"/>
              </w:rPr>
              <w:t xml:space="preserve"> съответства, допълва или да не противоречи на съответната интегрирана териториална стратегия за развитие на региона (6-те региона от ниво 2), в който попада местната инициативна група. За стратегии за ВОМР, които обхващат територии, попадащи в два или повече региона от ниво 2, тези изисквания се изпълняват за всяка от териториите на местната инициативна група, попадащи в съответния регион от ниво 2 и съотнесени към него. Това съответствие се </w:t>
            </w:r>
            <w:r w:rsidR="00365AA7" w:rsidRPr="00FB202F">
              <w:rPr>
                <w:rFonts w:ascii="Times New Roman" w:hAnsi="Times New Roman" w:cs="Times New Roman"/>
                <w:sz w:val="24"/>
                <w:szCs w:val="24"/>
              </w:rPr>
              <w:t xml:space="preserve">проверява </w:t>
            </w:r>
            <w:r w:rsidR="00EB6FD4" w:rsidRPr="00FB202F">
              <w:rPr>
                <w:rFonts w:ascii="Times New Roman" w:hAnsi="Times New Roman" w:cs="Times New Roman"/>
                <w:sz w:val="24"/>
                <w:szCs w:val="24"/>
              </w:rPr>
              <w:t xml:space="preserve">при оценката на стратегията от </w:t>
            </w:r>
            <w:r w:rsidR="001E1DE3">
              <w:rPr>
                <w:rFonts w:ascii="Times New Roman" w:hAnsi="Times New Roman" w:cs="Times New Roman"/>
                <w:sz w:val="24"/>
                <w:szCs w:val="24"/>
              </w:rPr>
              <w:t>к</w:t>
            </w:r>
            <w:r w:rsidR="00EB6FD4" w:rsidRPr="00FB202F">
              <w:rPr>
                <w:rFonts w:ascii="Times New Roman" w:hAnsi="Times New Roman" w:cs="Times New Roman"/>
                <w:sz w:val="24"/>
                <w:szCs w:val="24"/>
              </w:rPr>
              <w:t>омитета за подбор</w:t>
            </w:r>
            <w:r w:rsidR="006A6A83" w:rsidRPr="00FB202F">
              <w:rPr>
                <w:rFonts w:ascii="Times New Roman" w:hAnsi="Times New Roman" w:cs="Times New Roman"/>
                <w:sz w:val="24"/>
                <w:szCs w:val="24"/>
              </w:rPr>
              <w:t>.</w:t>
            </w:r>
          </w:p>
          <w:p w14:paraId="7CAF9AD2" w14:textId="24D39DCE" w:rsidR="006A6A83" w:rsidRPr="00FB202F" w:rsidRDefault="009E1CE7" w:rsidP="007541D6">
            <w:pPr>
              <w:pStyle w:val="ListParagraph"/>
              <w:numPr>
                <w:ilvl w:val="2"/>
                <w:numId w:val="28"/>
              </w:numPr>
              <w:tabs>
                <w:tab w:val="left" w:pos="0"/>
              </w:tabs>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За определена територия е допустимо финансирането само на една стратегия за ВОМР. УО на СПРЗСР ще следи за недопускане на припокриване на териториите на МИГ, включени в стратегия за ВОМР. В случай на констатирано застъпване на населени места и включването им в състава на две или повече МИГ, стратегиите на съответните групи и ще бъдат предложени за отхвърляне.</w:t>
            </w:r>
          </w:p>
          <w:p w14:paraId="1F2267FD" w14:textId="22598B62" w:rsidR="00BC1371" w:rsidRPr="00FB202F" w:rsidRDefault="00BC1371" w:rsidP="007541D6">
            <w:pPr>
              <w:pStyle w:val="ListParagraph"/>
              <w:numPr>
                <w:ilvl w:val="2"/>
                <w:numId w:val="28"/>
              </w:numPr>
              <w:tabs>
                <w:tab w:val="left" w:pos="0"/>
              </w:tabs>
              <w:spacing w:line="276" w:lineRule="auto"/>
              <w:ind w:left="0" w:firstLine="567"/>
              <w:rPr>
                <w:rFonts w:ascii="Times New Roman" w:hAnsi="Times New Roman" w:cs="Times New Roman"/>
                <w:sz w:val="24"/>
                <w:szCs w:val="24"/>
              </w:rPr>
            </w:pPr>
            <w:r w:rsidRPr="00FB202F">
              <w:rPr>
                <w:rFonts w:ascii="Times New Roman" w:hAnsi="Times New Roman" w:cs="Times New Roman"/>
                <w:sz w:val="24"/>
                <w:szCs w:val="24"/>
              </w:rPr>
              <w:t xml:space="preserve">Когато стратегия за ВОМР предвижда допълващо финансиране, то се включва </w:t>
            </w:r>
            <w:r w:rsidR="00CD2096">
              <w:rPr>
                <w:rFonts w:ascii="Times New Roman" w:hAnsi="Times New Roman" w:cs="Times New Roman"/>
                <w:sz w:val="24"/>
                <w:szCs w:val="24"/>
              </w:rPr>
              <w:t xml:space="preserve">в приложение към стратегията </w:t>
            </w:r>
            <w:r w:rsidRPr="00FB202F">
              <w:rPr>
                <w:rFonts w:ascii="Times New Roman" w:hAnsi="Times New Roman" w:cs="Times New Roman"/>
                <w:sz w:val="24"/>
                <w:szCs w:val="24"/>
              </w:rPr>
              <w:t>съгласно указанията по чл. 10 на ПМС</w:t>
            </w:r>
            <w:r w:rsidR="003F282F" w:rsidRPr="00FB202F">
              <w:rPr>
                <w:rFonts w:ascii="Times New Roman" w:hAnsi="Times New Roman" w:cs="Times New Roman"/>
                <w:sz w:val="24"/>
                <w:szCs w:val="24"/>
              </w:rPr>
              <w:t xml:space="preserve"> </w:t>
            </w:r>
            <w:r w:rsidRPr="00FB202F">
              <w:rPr>
                <w:rFonts w:ascii="Times New Roman" w:hAnsi="Times New Roman" w:cs="Times New Roman"/>
                <w:sz w:val="24"/>
                <w:szCs w:val="24"/>
              </w:rPr>
              <w:t>№</w:t>
            </w:r>
            <w:r w:rsidR="00BB20FC">
              <w:rPr>
                <w:rFonts w:ascii="Times New Roman" w:hAnsi="Times New Roman" w:cs="Times New Roman"/>
                <w:sz w:val="24"/>
                <w:szCs w:val="24"/>
              </w:rPr>
              <w:t xml:space="preserve"> </w:t>
            </w:r>
            <w:r w:rsidR="00BB20FC" w:rsidRPr="00BB20FC">
              <w:rPr>
                <w:rFonts w:ascii="Times New Roman" w:hAnsi="Times New Roman" w:cs="Times New Roman"/>
                <w:bCs/>
                <w:sz w:val="24"/>
                <w:szCs w:val="24"/>
                <w:lang w:val="en-US"/>
              </w:rPr>
              <w:t>4</w:t>
            </w:r>
            <w:r w:rsidR="00BB20FC" w:rsidRPr="00BB20FC">
              <w:rPr>
                <w:rFonts w:ascii="Times New Roman" w:hAnsi="Times New Roman" w:cs="Times New Roman"/>
                <w:bCs/>
                <w:sz w:val="24"/>
                <w:szCs w:val="24"/>
              </w:rPr>
              <w:t>94 от 2024 г.</w:t>
            </w:r>
          </w:p>
          <w:p w14:paraId="70B1E8C1" w14:textId="77777777" w:rsidR="00AE1C02" w:rsidRPr="00FB202F" w:rsidRDefault="00AE1C02" w:rsidP="007541D6">
            <w:pPr>
              <w:tabs>
                <w:tab w:val="left" w:pos="0"/>
              </w:tabs>
              <w:spacing w:line="276" w:lineRule="auto"/>
              <w:ind w:firstLine="567"/>
              <w:jc w:val="both"/>
              <w:rPr>
                <w:rFonts w:ascii="Times New Roman" w:hAnsi="Times New Roman" w:cs="Times New Roman"/>
                <w:sz w:val="24"/>
                <w:szCs w:val="24"/>
              </w:rPr>
            </w:pPr>
          </w:p>
          <w:p w14:paraId="2EA79A5B" w14:textId="112C35EE" w:rsidR="00AE1C02" w:rsidRPr="007541D6" w:rsidRDefault="00756F0A" w:rsidP="007541D6">
            <w:pPr>
              <w:tabs>
                <w:tab w:val="left" w:pos="0"/>
              </w:tabs>
              <w:ind w:firstLine="567"/>
              <w:jc w:val="both"/>
              <w:rPr>
                <w:rFonts w:ascii="Times New Roman" w:hAnsi="Times New Roman" w:cs="Times New Roman"/>
                <w:b/>
                <w:sz w:val="24"/>
                <w:szCs w:val="24"/>
              </w:rPr>
            </w:pPr>
            <w:r w:rsidRPr="007541D6">
              <w:rPr>
                <w:rFonts w:ascii="Times New Roman" w:hAnsi="Times New Roman" w:cs="Times New Roman"/>
                <w:b/>
                <w:sz w:val="24"/>
                <w:szCs w:val="24"/>
              </w:rPr>
              <w:t xml:space="preserve">13.2. </w:t>
            </w:r>
            <w:r w:rsidR="00AE1C02" w:rsidRPr="007541D6">
              <w:rPr>
                <w:rFonts w:ascii="Times New Roman" w:hAnsi="Times New Roman" w:cs="Times New Roman"/>
                <w:b/>
                <w:sz w:val="24"/>
                <w:szCs w:val="24"/>
              </w:rPr>
              <w:t>Условия за допустимост на мерки към стратегия за ВОМР</w:t>
            </w:r>
          </w:p>
          <w:p w14:paraId="5BF5F2D9" w14:textId="144D0061" w:rsidR="00B966BD" w:rsidRDefault="00B966BD" w:rsidP="00044F85">
            <w:pPr>
              <w:tabs>
                <w:tab w:val="left" w:pos="0"/>
              </w:tabs>
              <w:spacing w:line="276" w:lineRule="auto"/>
              <w:ind w:firstLine="567"/>
              <w:jc w:val="both"/>
              <w:rPr>
                <w:rFonts w:ascii="Times New Roman" w:hAnsi="Times New Roman" w:cs="Times New Roman"/>
                <w:sz w:val="24"/>
                <w:szCs w:val="24"/>
              </w:rPr>
            </w:pPr>
            <w:r w:rsidRPr="00B966BD">
              <w:rPr>
                <w:rFonts w:ascii="Times New Roman" w:hAnsi="Times New Roman" w:cs="Times New Roman"/>
                <w:sz w:val="24"/>
                <w:szCs w:val="24"/>
              </w:rPr>
              <w:t>Мерките в стратегия за ВОМР се разработват при недопускане на припокриване по всички програми, финансирани със средства на ЕС.</w:t>
            </w:r>
          </w:p>
          <w:p w14:paraId="475BA09E" w14:textId="77777777" w:rsidR="00B966BD" w:rsidRPr="00FB202F" w:rsidRDefault="00B966BD" w:rsidP="007541D6">
            <w:pPr>
              <w:tabs>
                <w:tab w:val="left" w:pos="0"/>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Подкрепата от ЕЗФРСР се предоставя за територията на селския район на МИГ или за друга територия, обхваната от МИГ, когато проектите допринасят за развитието на съответния селски район.</w:t>
            </w:r>
          </w:p>
          <w:p w14:paraId="5B20DC08" w14:textId="086DBFE2" w:rsidR="00EB72DB" w:rsidRDefault="003548AA" w:rsidP="0039522E">
            <w:pPr>
              <w:tabs>
                <w:tab w:val="left" w:pos="0"/>
              </w:tabs>
              <w:ind w:firstLine="601"/>
              <w:jc w:val="both"/>
              <w:rPr>
                <w:rFonts w:ascii="Times New Roman" w:hAnsi="Times New Roman" w:cs="Times New Roman"/>
                <w:sz w:val="24"/>
                <w:szCs w:val="24"/>
              </w:rPr>
            </w:pPr>
            <w:r>
              <w:rPr>
                <w:rFonts w:ascii="Times New Roman" w:hAnsi="Times New Roman" w:cs="Times New Roman"/>
                <w:sz w:val="24"/>
                <w:szCs w:val="24"/>
              </w:rPr>
              <w:t xml:space="preserve">13.2.1. </w:t>
            </w:r>
            <w:r w:rsidR="00EB72DB" w:rsidRPr="00EB72DB">
              <w:rPr>
                <w:rFonts w:ascii="Times New Roman" w:hAnsi="Times New Roman" w:cs="Times New Roman"/>
                <w:sz w:val="24"/>
                <w:szCs w:val="24"/>
              </w:rPr>
              <w:t>В стратегията за ВОМР МИГ може да включи мерки в областта на развитието на селските райони</w:t>
            </w:r>
            <w:r w:rsidR="003C2B47">
              <w:rPr>
                <w:rFonts w:ascii="Times New Roman" w:hAnsi="Times New Roman" w:cs="Times New Roman"/>
                <w:sz w:val="24"/>
                <w:szCs w:val="24"/>
              </w:rPr>
              <w:t xml:space="preserve">, </w:t>
            </w:r>
            <w:r w:rsidR="00EB72DB" w:rsidRPr="00EB72DB">
              <w:rPr>
                <w:rFonts w:ascii="Times New Roman" w:hAnsi="Times New Roman" w:cs="Times New Roman"/>
                <w:sz w:val="24"/>
                <w:szCs w:val="24"/>
              </w:rPr>
              <w:t xml:space="preserve">допустими съгласно </w:t>
            </w:r>
            <w:r w:rsidR="00CE0E19">
              <w:rPr>
                <w:rFonts w:ascii="Times New Roman" w:hAnsi="Times New Roman" w:cs="Times New Roman"/>
                <w:sz w:val="24"/>
                <w:szCs w:val="24"/>
              </w:rPr>
              <w:t xml:space="preserve">чл. 73 и чл. 77 от </w:t>
            </w:r>
            <w:r w:rsidR="00EB72DB" w:rsidRPr="00EB72DB">
              <w:rPr>
                <w:rFonts w:ascii="Times New Roman" w:hAnsi="Times New Roman" w:cs="Times New Roman"/>
                <w:sz w:val="24"/>
                <w:szCs w:val="24"/>
              </w:rPr>
              <w:t xml:space="preserve">Регламент (EC) № 2021/2115 и Регламент (ЕС) 2021/1060, с изключение на </w:t>
            </w:r>
            <w:r w:rsidR="00E765C4">
              <w:rPr>
                <w:rFonts w:ascii="Times New Roman" w:hAnsi="Times New Roman" w:cs="Times New Roman"/>
                <w:sz w:val="24"/>
                <w:szCs w:val="24"/>
              </w:rPr>
              <w:t>такива</w:t>
            </w:r>
            <w:r w:rsidR="00EB72DB" w:rsidRPr="00EB72DB">
              <w:rPr>
                <w:rFonts w:ascii="Times New Roman" w:hAnsi="Times New Roman" w:cs="Times New Roman"/>
                <w:sz w:val="24"/>
                <w:szCs w:val="24"/>
              </w:rPr>
              <w:t>, по които се предвиждат фиксирани плащания и интервенции, свързани със схеми за плащания на площ</w:t>
            </w:r>
            <w:r w:rsidR="00D60F6E">
              <w:rPr>
                <w:rFonts w:ascii="Times New Roman" w:hAnsi="Times New Roman" w:cs="Times New Roman"/>
                <w:sz w:val="24"/>
                <w:szCs w:val="24"/>
              </w:rPr>
              <w:t>.</w:t>
            </w:r>
          </w:p>
          <w:p w14:paraId="3938920F" w14:textId="486C0BEE" w:rsidR="00B966BD" w:rsidRDefault="00DE0B2D" w:rsidP="007541D6">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13.2.</w:t>
            </w:r>
            <w:r w:rsidR="0041469F">
              <w:rPr>
                <w:rFonts w:ascii="Times New Roman" w:hAnsi="Times New Roman" w:cs="Times New Roman"/>
                <w:sz w:val="24"/>
                <w:szCs w:val="24"/>
              </w:rPr>
              <w:t>2</w:t>
            </w:r>
            <w:r>
              <w:rPr>
                <w:rFonts w:ascii="Times New Roman" w:hAnsi="Times New Roman" w:cs="Times New Roman"/>
                <w:sz w:val="24"/>
                <w:szCs w:val="24"/>
              </w:rPr>
              <w:t xml:space="preserve">. </w:t>
            </w:r>
            <w:r w:rsidR="00B966BD" w:rsidRPr="00B966BD">
              <w:rPr>
                <w:rFonts w:ascii="Times New Roman" w:hAnsi="Times New Roman" w:cs="Times New Roman"/>
                <w:sz w:val="24"/>
                <w:szCs w:val="24"/>
              </w:rPr>
              <w:t xml:space="preserve">Включените в стратегиите мерки задължително трябва да произтичат от представения към СВОМР подробен анализ за идентифицираните нужди на територията, очертаващ необходимостта от тяхното финансиране. </w:t>
            </w:r>
          </w:p>
          <w:p w14:paraId="435FF7AB" w14:textId="091DCAD0" w:rsidR="00B966BD" w:rsidRDefault="00B966BD" w:rsidP="00044F85">
            <w:pPr>
              <w:tabs>
                <w:tab w:val="left" w:pos="0"/>
              </w:tabs>
              <w:spacing w:line="276" w:lineRule="auto"/>
              <w:ind w:firstLine="567"/>
              <w:jc w:val="both"/>
              <w:rPr>
                <w:rFonts w:ascii="Times New Roman" w:hAnsi="Times New Roman" w:cs="Times New Roman"/>
                <w:sz w:val="24"/>
                <w:szCs w:val="24"/>
              </w:rPr>
            </w:pPr>
            <w:r w:rsidRPr="00B966BD">
              <w:rPr>
                <w:rFonts w:ascii="Times New Roman" w:hAnsi="Times New Roman" w:cs="Times New Roman"/>
                <w:sz w:val="24"/>
                <w:szCs w:val="24"/>
              </w:rPr>
              <w:t>Местната инициативна група определ</w:t>
            </w:r>
            <w:r w:rsidR="00295CFF">
              <w:rPr>
                <w:rFonts w:ascii="Times New Roman" w:hAnsi="Times New Roman" w:cs="Times New Roman"/>
                <w:sz w:val="24"/>
                <w:szCs w:val="24"/>
              </w:rPr>
              <w:t>я</w:t>
            </w:r>
            <w:r w:rsidRPr="00B966BD">
              <w:rPr>
                <w:rFonts w:ascii="Times New Roman" w:hAnsi="Times New Roman" w:cs="Times New Roman"/>
                <w:sz w:val="24"/>
                <w:szCs w:val="24"/>
              </w:rPr>
              <w:t xml:space="preserve"> интензитет на подпомагане по отделните мерки от стратегията за ВОМР до максималния размер, посочен в </w:t>
            </w:r>
            <w:r w:rsidR="00295CFF" w:rsidRPr="00295CFF">
              <w:rPr>
                <w:rFonts w:ascii="Times New Roman" w:hAnsi="Times New Roman" w:cs="Times New Roman"/>
                <w:sz w:val="24"/>
                <w:szCs w:val="24"/>
              </w:rPr>
              <w:t>чл. 73 и чл. 77</w:t>
            </w:r>
            <w:r w:rsidR="00295CFF">
              <w:rPr>
                <w:rFonts w:ascii="Times New Roman" w:hAnsi="Times New Roman" w:cs="Times New Roman"/>
                <w:sz w:val="24"/>
                <w:szCs w:val="24"/>
              </w:rPr>
              <w:t xml:space="preserve"> от </w:t>
            </w:r>
            <w:r w:rsidRPr="00B966BD">
              <w:rPr>
                <w:rFonts w:ascii="Times New Roman" w:hAnsi="Times New Roman" w:cs="Times New Roman"/>
                <w:sz w:val="24"/>
                <w:szCs w:val="24"/>
              </w:rPr>
              <w:t>Регламент (EC) № 2021/2115 в зависимост от типа на кандидата и подпомаганите дейности.</w:t>
            </w:r>
          </w:p>
          <w:p w14:paraId="0C61F61E" w14:textId="586F7D93" w:rsidR="00B966BD" w:rsidRPr="00B966BD" w:rsidRDefault="00B966BD" w:rsidP="007541D6">
            <w:pPr>
              <w:tabs>
                <w:tab w:val="left" w:pos="0"/>
              </w:tabs>
              <w:spacing w:line="276" w:lineRule="auto"/>
              <w:ind w:firstLine="567"/>
              <w:jc w:val="both"/>
              <w:rPr>
                <w:rFonts w:ascii="Times New Roman" w:hAnsi="Times New Roman" w:cs="Times New Roman"/>
                <w:sz w:val="24"/>
                <w:szCs w:val="24"/>
              </w:rPr>
            </w:pPr>
            <w:r w:rsidRPr="00B966BD">
              <w:rPr>
                <w:rFonts w:ascii="Times New Roman" w:hAnsi="Times New Roman" w:cs="Times New Roman"/>
                <w:sz w:val="24"/>
                <w:szCs w:val="24"/>
              </w:rPr>
              <w:t>Всяка мярка в стратегия за ВОМР съдържа:</w:t>
            </w:r>
          </w:p>
          <w:p w14:paraId="252BA6FC" w14:textId="77777777" w:rsidR="00B966BD" w:rsidRPr="00B966BD" w:rsidRDefault="00B966BD" w:rsidP="007541D6">
            <w:pPr>
              <w:tabs>
                <w:tab w:val="left" w:pos="0"/>
              </w:tabs>
              <w:spacing w:line="276" w:lineRule="auto"/>
              <w:ind w:firstLine="567"/>
              <w:jc w:val="both"/>
              <w:rPr>
                <w:rFonts w:ascii="Times New Roman" w:hAnsi="Times New Roman" w:cs="Times New Roman"/>
                <w:sz w:val="24"/>
                <w:szCs w:val="24"/>
              </w:rPr>
            </w:pPr>
            <w:r w:rsidRPr="00B966BD">
              <w:rPr>
                <w:rFonts w:ascii="Times New Roman" w:hAnsi="Times New Roman" w:cs="Times New Roman"/>
                <w:sz w:val="24"/>
                <w:szCs w:val="24"/>
              </w:rPr>
              <w:t>-</w:t>
            </w:r>
            <w:r w:rsidRPr="00B966BD">
              <w:rPr>
                <w:rFonts w:ascii="Times New Roman" w:hAnsi="Times New Roman" w:cs="Times New Roman"/>
                <w:sz w:val="24"/>
                <w:szCs w:val="24"/>
              </w:rPr>
              <w:tab/>
              <w:t xml:space="preserve">описание на целите на мярката; </w:t>
            </w:r>
          </w:p>
          <w:p w14:paraId="16B1E587" w14:textId="77777777" w:rsidR="00B966BD" w:rsidRPr="00B966BD" w:rsidRDefault="00B966BD" w:rsidP="007541D6">
            <w:pPr>
              <w:tabs>
                <w:tab w:val="left" w:pos="0"/>
              </w:tabs>
              <w:spacing w:line="276" w:lineRule="auto"/>
              <w:ind w:firstLine="567"/>
              <w:jc w:val="both"/>
              <w:rPr>
                <w:rFonts w:ascii="Times New Roman" w:hAnsi="Times New Roman" w:cs="Times New Roman"/>
                <w:sz w:val="24"/>
                <w:szCs w:val="24"/>
              </w:rPr>
            </w:pPr>
            <w:r w:rsidRPr="00B966BD">
              <w:rPr>
                <w:rFonts w:ascii="Times New Roman" w:hAnsi="Times New Roman" w:cs="Times New Roman"/>
                <w:sz w:val="24"/>
                <w:szCs w:val="24"/>
              </w:rPr>
              <w:t>-</w:t>
            </w:r>
            <w:r w:rsidRPr="00B966BD">
              <w:rPr>
                <w:rFonts w:ascii="Times New Roman" w:hAnsi="Times New Roman" w:cs="Times New Roman"/>
                <w:sz w:val="24"/>
                <w:szCs w:val="24"/>
              </w:rPr>
              <w:tab/>
              <w:t xml:space="preserve">допустими кандидати; </w:t>
            </w:r>
          </w:p>
          <w:p w14:paraId="41BF18C6" w14:textId="77777777" w:rsidR="00B966BD" w:rsidRPr="00B966BD" w:rsidRDefault="00B966BD" w:rsidP="007541D6">
            <w:pPr>
              <w:tabs>
                <w:tab w:val="left" w:pos="0"/>
              </w:tabs>
              <w:spacing w:line="276" w:lineRule="auto"/>
              <w:ind w:firstLine="567"/>
              <w:jc w:val="both"/>
              <w:rPr>
                <w:rFonts w:ascii="Times New Roman" w:hAnsi="Times New Roman" w:cs="Times New Roman"/>
                <w:sz w:val="24"/>
                <w:szCs w:val="24"/>
              </w:rPr>
            </w:pPr>
            <w:r w:rsidRPr="00B966BD">
              <w:rPr>
                <w:rFonts w:ascii="Times New Roman" w:hAnsi="Times New Roman" w:cs="Times New Roman"/>
                <w:sz w:val="24"/>
                <w:szCs w:val="24"/>
              </w:rPr>
              <w:lastRenderedPageBreak/>
              <w:t>-</w:t>
            </w:r>
            <w:r w:rsidRPr="00B966BD">
              <w:rPr>
                <w:rFonts w:ascii="Times New Roman" w:hAnsi="Times New Roman" w:cs="Times New Roman"/>
                <w:sz w:val="24"/>
                <w:szCs w:val="24"/>
              </w:rPr>
              <w:tab/>
              <w:t>допустими дейности;</w:t>
            </w:r>
          </w:p>
          <w:p w14:paraId="5B264EA0" w14:textId="77777777" w:rsidR="00B966BD" w:rsidRPr="00B966BD" w:rsidRDefault="00B966BD" w:rsidP="007541D6">
            <w:pPr>
              <w:tabs>
                <w:tab w:val="left" w:pos="0"/>
              </w:tabs>
              <w:spacing w:line="276" w:lineRule="auto"/>
              <w:ind w:firstLine="567"/>
              <w:jc w:val="both"/>
              <w:rPr>
                <w:rFonts w:ascii="Times New Roman" w:hAnsi="Times New Roman" w:cs="Times New Roman"/>
                <w:sz w:val="24"/>
                <w:szCs w:val="24"/>
              </w:rPr>
            </w:pPr>
            <w:r w:rsidRPr="00B966BD">
              <w:rPr>
                <w:rFonts w:ascii="Times New Roman" w:hAnsi="Times New Roman" w:cs="Times New Roman"/>
                <w:sz w:val="24"/>
                <w:szCs w:val="24"/>
              </w:rPr>
              <w:t>-</w:t>
            </w:r>
            <w:r w:rsidRPr="00B966BD">
              <w:rPr>
                <w:rFonts w:ascii="Times New Roman" w:hAnsi="Times New Roman" w:cs="Times New Roman"/>
                <w:sz w:val="24"/>
                <w:szCs w:val="24"/>
              </w:rPr>
              <w:tab/>
              <w:t xml:space="preserve">допустими разходи; </w:t>
            </w:r>
          </w:p>
          <w:p w14:paraId="67A34323" w14:textId="2A132EFE" w:rsidR="00B966BD" w:rsidRPr="00B966BD" w:rsidRDefault="00B966BD" w:rsidP="007541D6">
            <w:pPr>
              <w:tabs>
                <w:tab w:val="left" w:pos="0"/>
              </w:tabs>
              <w:spacing w:line="276" w:lineRule="auto"/>
              <w:ind w:firstLine="567"/>
              <w:jc w:val="both"/>
              <w:rPr>
                <w:rFonts w:ascii="Times New Roman" w:hAnsi="Times New Roman" w:cs="Times New Roman"/>
                <w:sz w:val="24"/>
                <w:szCs w:val="24"/>
              </w:rPr>
            </w:pPr>
            <w:r w:rsidRPr="00B966BD">
              <w:rPr>
                <w:rFonts w:ascii="Times New Roman" w:hAnsi="Times New Roman" w:cs="Times New Roman"/>
                <w:sz w:val="24"/>
                <w:szCs w:val="24"/>
              </w:rPr>
              <w:t>-</w:t>
            </w:r>
            <w:r w:rsidRPr="00B966BD">
              <w:rPr>
                <w:rFonts w:ascii="Times New Roman" w:hAnsi="Times New Roman" w:cs="Times New Roman"/>
                <w:sz w:val="24"/>
                <w:szCs w:val="24"/>
              </w:rPr>
              <w:tab/>
              <w:t>определените финансови параметри за проектите - минимален и максимален размер на общите допустими разходи за един проект;</w:t>
            </w:r>
          </w:p>
          <w:p w14:paraId="7D538EF2" w14:textId="77777777" w:rsidR="00B966BD" w:rsidRPr="00B966BD" w:rsidRDefault="00B966BD" w:rsidP="007541D6">
            <w:pPr>
              <w:tabs>
                <w:tab w:val="left" w:pos="0"/>
              </w:tabs>
              <w:spacing w:line="276" w:lineRule="auto"/>
              <w:ind w:firstLine="567"/>
              <w:jc w:val="both"/>
              <w:rPr>
                <w:rFonts w:ascii="Times New Roman" w:hAnsi="Times New Roman" w:cs="Times New Roman"/>
                <w:sz w:val="24"/>
                <w:szCs w:val="24"/>
              </w:rPr>
            </w:pPr>
            <w:r w:rsidRPr="00B966BD">
              <w:rPr>
                <w:rFonts w:ascii="Times New Roman" w:hAnsi="Times New Roman" w:cs="Times New Roman"/>
                <w:sz w:val="24"/>
                <w:szCs w:val="24"/>
              </w:rPr>
              <w:t>-</w:t>
            </w:r>
            <w:r w:rsidRPr="00B966BD">
              <w:rPr>
                <w:rFonts w:ascii="Times New Roman" w:hAnsi="Times New Roman" w:cs="Times New Roman"/>
                <w:sz w:val="24"/>
                <w:szCs w:val="24"/>
              </w:rPr>
              <w:tab/>
              <w:t>интензитет на финансовата помощ;</w:t>
            </w:r>
          </w:p>
          <w:p w14:paraId="27653767" w14:textId="77777777" w:rsidR="004A335D" w:rsidRDefault="00B966BD" w:rsidP="007541D6">
            <w:pPr>
              <w:tabs>
                <w:tab w:val="left" w:pos="0"/>
              </w:tabs>
              <w:spacing w:line="276" w:lineRule="auto"/>
              <w:ind w:firstLine="567"/>
              <w:jc w:val="both"/>
              <w:rPr>
                <w:rFonts w:ascii="Times New Roman" w:hAnsi="Times New Roman" w:cs="Times New Roman"/>
                <w:sz w:val="24"/>
                <w:szCs w:val="24"/>
              </w:rPr>
            </w:pPr>
            <w:r w:rsidRPr="00B966BD">
              <w:rPr>
                <w:rFonts w:ascii="Times New Roman" w:hAnsi="Times New Roman" w:cs="Times New Roman"/>
                <w:sz w:val="24"/>
                <w:szCs w:val="24"/>
              </w:rPr>
              <w:t>-</w:t>
            </w:r>
            <w:r w:rsidRPr="00B966BD">
              <w:rPr>
                <w:rFonts w:ascii="Times New Roman" w:hAnsi="Times New Roman" w:cs="Times New Roman"/>
                <w:sz w:val="24"/>
                <w:szCs w:val="24"/>
              </w:rPr>
              <w:tab/>
              <w:t>обективни и измерими критерии за подбор на проектите,</w:t>
            </w:r>
            <w:r w:rsidR="003A619D">
              <w:rPr>
                <w:rFonts w:ascii="Times New Roman" w:hAnsi="Times New Roman" w:cs="Times New Roman"/>
                <w:sz w:val="24"/>
                <w:szCs w:val="24"/>
              </w:rPr>
              <w:t xml:space="preserve"> </w:t>
            </w:r>
            <w:r w:rsidRPr="00B966BD">
              <w:rPr>
                <w:rFonts w:ascii="Times New Roman" w:hAnsi="Times New Roman" w:cs="Times New Roman"/>
                <w:sz w:val="24"/>
                <w:szCs w:val="24"/>
              </w:rPr>
              <w:t>тяхната тежес</w:t>
            </w:r>
            <w:r w:rsidR="00756F0A">
              <w:rPr>
                <w:rFonts w:ascii="Times New Roman" w:hAnsi="Times New Roman" w:cs="Times New Roman"/>
                <w:sz w:val="24"/>
                <w:szCs w:val="24"/>
              </w:rPr>
              <w:t xml:space="preserve">т и минимален праг за одобрение. </w:t>
            </w:r>
          </w:p>
          <w:p w14:paraId="099FD613" w14:textId="4AA3601D" w:rsidR="00B966BD" w:rsidRPr="00B966BD" w:rsidRDefault="00756F0A" w:rsidP="007541D6">
            <w:pPr>
              <w:tabs>
                <w:tab w:val="left" w:pos="0"/>
              </w:tabs>
              <w:spacing w:line="276" w:lineRule="auto"/>
              <w:ind w:firstLine="567"/>
              <w:jc w:val="both"/>
              <w:rPr>
                <w:rFonts w:ascii="Times New Roman" w:hAnsi="Times New Roman" w:cs="Times New Roman"/>
                <w:sz w:val="24"/>
                <w:szCs w:val="24"/>
              </w:rPr>
            </w:pPr>
            <w:r w:rsidRPr="00756F0A">
              <w:rPr>
                <w:rFonts w:ascii="Times New Roman" w:hAnsi="Times New Roman" w:cs="Times New Roman"/>
                <w:sz w:val="24"/>
                <w:szCs w:val="24"/>
              </w:rPr>
              <w:t>Обективни са критериите за подбор на проекти, когато осигуряват най-малко:</w:t>
            </w:r>
            <w:r>
              <w:rPr>
                <w:rFonts w:ascii="Times New Roman" w:hAnsi="Times New Roman" w:cs="Times New Roman"/>
                <w:sz w:val="24"/>
                <w:szCs w:val="24"/>
              </w:rPr>
              <w:t xml:space="preserve"> </w:t>
            </w:r>
            <w:r w:rsidRPr="00756F0A">
              <w:rPr>
                <w:rFonts w:ascii="Times New Roman" w:hAnsi="Times New Roman" w:cs="Times New Roman"/>
                <w:sz w:val="24"/>
                <w:szCs w:val="24"/>
              </w:rPr>
              <w:t>съответствие на проектите с характеристиката на територията, нуждите и потребностите на местната общност, общинските и секторни политики за развитие и/или</w:t>
            </w:r>
            <w:r>
              <w:rPr>
                <w:rFonts w:ascii="Times New Roman" w:hAnsi="Times New Roman" w:cs="Times New Roman"/>
                <w:sz w:val="24"/>
                <w:szCs w:val="24"/>
              </w:rPr>
              <w:t xml:space="preserve"> </w:t>
            </w:r>
            <w:r w:rsidRPr="00756F0A">
              <w:rPr>
                <w:rFonts w:ascii="Times New Roman" w:hAnsi="Times New Roman" w:cs="Times New Roman"/>
                <w:sz w:val="24"/>
                <w:szCs w:val="24"/>
              </w:rPr>
              <w:t xml:space="preserve"> подкрепа за дейности, които са пряко свързани с постигането на целите на стратегията за ВОМР на МИГ и/или</w:t>
            </w:r>
            <w:r>
              <w:rPr>
                <w:rFonts w:ascii="Times New Roman" w:hAnsi="Times New Roman" w:cs="Times New Roman"/>
                <w:sz w:val="24"/>
                <w:szCs w:val="24"/>
              </w:rPr>
              <w:t xml:space="preserve"> </w:t>
            </w:r>
            <w:r w:rsidRPr="00756F0A">
              <w:rPr>
                <w:rFonts w:ascii="Times New Roman" w:hAnsi="Times New Roman" w:cs="Times New Roman"/>
                <w:sz w:val="24"/>
                <w:szCs w:val="24"/>
              </w:rPr>
              <w:t>подкрепа за проекти с положително въздействие върху социалната среда и/или околната среда и/или заетостта.</w:t>
            </w:r>
            <w:r>
              <w:rPr>
                <w:rFonts w:ascii="Times New Roman" w:hAnsi="Times New Roman" w:cs="Times New Roman"/>
                <w:sz w:val="24"/>
                <w:szCs w:val="24"/>
              </w:rPr>
              <w:t xml:space="preserve"> </w:t>
            </w:r>
            <w:r w:rsidRPr="00756F0A">
              <w:rPr>
                <w:rFonts w:ascii="Times New Roman" w:hAnsi="Times New Roman" w:cs="Times New Roman"/>
                <w:sz w:val="24"/>
                <w:szCs w:val="24"/>
              </w:rPr>
              <w:t xml:space="preserve">Критериите за подбор по отделните мерки не могат да съдържат </w:t>
            </w:r>
            <w:r w:rsidR="007F3A36">
              <w:rPr>
                <w:rFonts w:ascii="Times New Roman" w:hAnsi="Times New Roman" w:cs="Times New Roman"/>
                <w:sz w:val="24"/>
                <w:szCs w:val="24"/>
              </w:rPr>
              <w:t xml:space="preserve">изцяло или частично </w:t>
            </w:r>
            <w:r w:rsidRPr="00756F0A">
              <w:rPr>
                <w:rFonts w:ascii="Times New Roman" w:hAnsi="Times New Roman" w:cs="Times New Roman"/>
                <w:sz w:val="24"/>
                <w:szCs w:val="24"/>
              </w:rPr>
              <w:t>условия за административно съответствие и допустимост на кандидатите и/или проектите.</w:t>
            </w:r>
          </w:p>
          <w:p w14:paraId="212DA6F1" w14:textId="49E698BE" w:rsidR="00B966BD" w:rsidRDefault="00756F0A" w:rsidP="00044F85">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B966BD" w:rsidRPr="00B966BD">
              <w:rPr>
                <w:rFonts w:ascii="Times New Roman" w:hAnsi="Times New Roman" w:cs="Times New Roman"/>
                <w:sz w:val="24"/>
                <w:szCs w:val="24"/>
              </w:rPr>
              <w:t>други елементи по преценка на МИГ.</w:t>
            </w:r>
          </w:p>
          <w:p w14:paraId="4E44201F" w14:textId="1F261D97" w:rsidR="00785D35" w:rsidRPr="00EB72DB" w:rsidRDefault="00785D35" w:rsidP="00044F85">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мерките от стратегиите, следва да бъде включено изискване за проектите,  предвиждащи икономически дейности, кандидатите да представят бизнес план, доказващ устойчивост и финансова жизнеспособност на проекта. За проектнте с непроизводствени инвестиции и дейности следва се предвиди представяне на анализ разходи—ползи, от който да е видно, че проектното предложение няма да генерира приходи, или ако генерира, същите се разходват само за нестопанските цели на кандидата, свързани изцяло с целите на проекта. </w:t>
            </w:r>
          </w:p>
          <w:p w14:paraId="7A8C0ECD" w14:textId="56FA4562" w:rsidR="00EB72DB" w:rsidRPr="008A4E64" w:rsidRDefault="00EB72DB" w:rsidP="007541D6">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13.2.</w:t>
            </w:r>
            <w:r w:rsidR="003548AA">
              <w:rPr>
                <w:rFonts w:ascii="Times New Roman" w:hAnsi="Times New Roman" w:cs="Times New Roman"/>
                <w:sz w:val="24"/>
                <w:szCs w:val="24"/>
              </w:rPr>
              <w:t>3</w:t>
            </w:r>
            <w:r w:rsidRPr="00EB72DB">
              <w:rPr>
                <w:rFonts w:ascii="Times New Roman" w:hAnsi="Times New Roman" w:cs="Times New Roman"/>
                <w:sz w:val="24"/>
                <w:szCs w:val="24"/>
              </w:rPr>
              <w:t>. мярка „Сътрудничество и подготвителни дейности за него“, когато се планира изпълнението на тази мярка</w:t>
            </w:r>
            <w:r w:rsidR="00BE1A4A">
              <w:rPr>
                <w:rFonts w:ascii="Times New Roman" w:hAnsi="Times New Roman" w:cs="Times New Roman"/>
                <w:sz w:val="24"/>
                <w:szCs w:val="24"/>
              </w:rPr>
              <w:t>.</w:t>
            </w:r>
            <w:r w:rsidR="008A4E64">
              <w:rPr>
                <w:rFonts w:ascii="Times New Roman" w:hAnsi="Times New Roman" w:cs="Times New Roman"/>
                <w:sz w:val="24"/>
                <w:szCs w:val="24"/>
                <w:lang w:val="en-US"/>
              </w:rPr>
              <w:t xml:space="preserve"> </w:t>
            </w:r>
          </w:p>
          <w:p w14:paraId="08FADC21" w14:textId="5A44A6CD" w:rsidR="00BE1A4A" w:rsidRDefault="00EB72DB" w:rsidP="007541D6">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13.2.</w:t>
            </w:r>
            <w:r w:rsidR="003548AA">
              <w:rPr>
                <w:rFonts w:ascii="Times New Roman" w:hAnsi="Times New Roman" w:cs="Times New Roman"/>
                <w:sz w:val="24"/>
                <w:szCs w:val="24"/>
              </w:rPr>
              <w:t>4</w:t>
            </w:r>
            <w:r w:rsidRPr="00EB72DB">
              <w:rPr>
                <w:rFonts w:ascii="Times New Roman" w:hAnsi="Times New Roman" w:cs="Times New Roman"/>
                <w:sz w:val="24"/>
                <w:szCs w:val="24"/>
              </w:rPr>
              <w:t>. мярка „Управление, мониторинг и оценката на стратегията и нейното популяризиране“.</w:t>
            </w:r>
            <w:r w:rsidR="00BE1A4A">
              <w:rPr>
                <w:rFonts w:ascii="Times New Roman" w:hAnsi="Times New Roman" w:cs="Times New Roman"/>
                <w:sz w:val="24"/>
                <w:szCs w:val="24"/>
              </w:rPr>
              <w:t xml:space="preserve"> </w:t>
            </w:r>
          </w:p>
          <w:p w14:paraId="3B4307B9" w14:textId="5E687C8E" w:rsidR="00BE1A4A" w:rsidRDefault="00BE1A4A" w:rsidP="007541D6">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Разпределението на средствата по мярка </w:t>
            </w:r>
            <w:r w:rsidRPr="005F044F">
              <w:rPr>
                <w:rFonts w:ascii="Times New Roman" w:hAnsi="Times New Roman" w:cs="Times New Roman"/>
                <w:sz w:val="24"/>
                <w:szCs w:val="24"/>
              </w:rPr>
              <w:t>„Управление, мониторинг и оценка на стратегията и нейното популяризиране“</w:t>
            </w:r>
            <w:r>
              <w:rPr>
                <w:rFonts w:ascii="Times New Roman" w:hAnsi="Times New Roman" w:cs="Times New Roman"/>
                <w:sz w:val="24"/>
                <w:szCs w:val="24"/>
              </w:rPr>
              <w:t xml:space="preserve"> по години за целия период на изпълнение на СВОМР са посочва от МИГ в отделен документ съгласно приложение № </w:t>
            </w:r>
            <w:r w:rsidR="000325C5">
              <w:rPr>
                <w:rFonts w:ascii="Times New Roman" w:hAnsi="Times New Roman" w:cs="Times New Roman"/>
                <w:sz w:val="24"/>
                <w:szCs w:val="24"/>
              </w:rPr>
              <w:t>3</w:t>
            </w:r>
            <w:r w:rsidR="002974F6">
              <w:rPr>
                <w:rFonts w:ascii="Times New Roman" w:hAnsi="Times New Roman" w:cs="Times New Roman"/>
                <w:sz w:val="24"/>
                <w:szCs w:val="24"/>
              </w:rPr>
              <w:t xml:space="preserve"> от документите към </w:t>
            </w:r>
            <w:r w:rsidR="006C3FF4">
              <w:rPr>
                <w:rFonts w:ascii="Times New Roman" w:hAnsi="Times New Roman" w:cs="Times New Roman"/>
                <w:sz w:val="24"/>
                <w:szCs w:val="24"/>
              </w:rPr>
              <w:t>У</w:t>
            </w:r>
            <w:r w:rsidR="002974F6">
              <w:rPr>
                <w:rFonts w:ascii="Times New Roman" w:hAnsi="Times New Roman" w:cs="Times New Roman"/>
                <w:sz w:val="24"/>
                <w:szCs w:val="24"/>
              </w:rPr>
              <w:t>словията за кандидатстване.</w:t>
            </w:r>
          </w:p>
          <w:p w14:paraId="5E6D3DA4" w14:textId="1EF9BDA0" w:rsidR="00AF011F" w:rsidRPr="00FB202F" w:rsidRDefault="00AF011F" w:rsidP="00440B13">
            <w:pPr>
              <w:pStyle w:val="ListParagraph"/>
              <w:tabs>
                <w:tab w:val="left" w:pos="0"/>
                <w:tab w:val="left" w:pos="318"/>
              </w:tabs>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13.2.5. </w:t>
            </w:r>
            <w:r w:rsidR="00B966BD" w:rsidRPr="00FB202F">
              <w:rPr>
                <w:rFonts w:ascii="Times New Roman" w:hAnsi="Times New Roman" w:cs="Times New Roman"/>
                <w:sz w:val="24"/>
                <w:szCs w:val="24"/>
              </w:rPr>
              <w:t xml:space="preserve">Мярка „Управление, мониторинг и оценка на стратегията и нейното популяризиране“ </w:t>
            </w:r>
            <w:r w:rsidRPr="00FB202F">
              <w:rPr>
                <w:rFonts w:ascii="Times New Roman" w:hAnsi="Times New Roman" w:cs="Times New Roman"/>
                <w:sz w:val="24"/>
                <w:szCs w:val="24"/>
              </w:rPr>
              <w:t>съдържа:</w:t>
            </w:r>
          </w:p>
          <w:p w14:paraId="1FE29825" w14:textId="5A4B209F" w:rsidR="00AF011F" w:rsidRPr="00FB202F" w:rsidRDefault="00AF011F" w:rsidP="00440B13">
            <w:pPr>
              <w:pStyle w:val="ListParagraph"/>
              <w:tabs>
                <w:tab w:val="left" w:pos="0"/>
                <w:tab w:val="left" w:pos="318"/>
              </w:tabs>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 допустими дейности</w:t>
            </w:r>
            <w:r>
              <w:rPr>
                <w:rFonts w:ascii="Times New Roman" w:hAnsi="Times New Roman" w:cs="Times New Roman"/>
                <w:sz w:val="24"/>
                <w:szCs w:val="24"/>
              </w:rPr>
              <w:t>, съгласно посочените в т. 13.3.3</w:t>
            </w:r>
            <w:r w:rsidRPr="00FB202F">
              <w:rPr>
                <w:rFonts w:ascii="Times New Roman" w:hAnsi="Times New Roman" w:cs="Times New Roman"/>
                <w:sz w:val="24"/>
                <w:szCs w:val="24"/>
              </w:rPr>
              <w:t>;</w:t>
            </w:r>
          </w:p>
          <w:p w14:paraId="52F38108" w14:textId="4502E5B3" w:rsidR="00AF011F" w:rsidRPr="00FB202F" w:rsidRDefault="00AF011F" w:rsidP="00440B13">
            <w:pPr>
              <w:pStyle w:val="ListParagraph"/>
              <w:tabs>
                <w:tab w:val="left" w:pos="0"/>
                <w:tab w:val="left" w:pos="318"/>
              </w:tabs>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 допустими разходи</w:t>
            </w:r>
            <w:r>
              <w:rPr>
                <w:rFonts w:ascii="Times New Roman" w:hAnsi="Times New Roman" w:cs="Times New Roman"/>
                <w:sz w:val="24"/>
                <w:szCs w:val="24"/>
              </w:rPr>
              <w:t xml:space="preserve"> съгласно посочените в т. 14.1.2</w:t>
            </w:r>
            <w:r w:rsidRPr="00FB202F">
              <w:rPr>
                <w:rFonts w:ascii="Times New Roman" w:hAnsi="Times New Roman" w:cs="Times New Roman"/>
                <w:sz w:val="24"/>
                <w:szCs w:val="24"/>
              </w:rPr>
              <w:t>;</w:t>
            </w:r>
          </w:p>
          <w:p w14:paraId="62A9F595" w14:textId="77777777" w:rsidR="00AF011F" w:rsidRDefault="00AF011F" w:rsidP="00440B13">
            <w:pPr>
              <w:pStyle w:val="ListParagraph"/>
              <w:tabs>
                <w:tab w:val="left" w:pos="0"/>
                <w:tab w:val="left" w:pos="318"/>
              </w:tabs>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 общ размер на финансовата помощ по мярката.</w:t>
            </w:r>
          </w:p>
          <w:p w14:paraId="38CD3C1E" w14:textId="50C4ABD6" w:rsidR="00AF011F" w:rsidRDefault="00AF011F" w:rsidP="00440B13">
            <w:pPr>
              <w:pStyle w:val="ListParagraph"/>
              <w:tabs>
                <w:tab w:val="left" w:pos="0"/>
                <w:tab w:val="left" w:pos="318"/>
              </w:tabs>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13.2.6. М</w:t>
            </w:r>
            <w:r w:rsidR="00B966BD" w:rsidRPr="00FB202F">
              <w:rPr>
                <w:rFonts w:ascii="Times New Roman" w:hAnsi="Times New Roman" w:cs="Times New Roman"/>
                <w:sz w:val="24"/>
                <w:szCs w:val="24"/>
              </w:rPr>
              <w:t xml:space="preserve">ярка „Сътрудничество и подготвителни дейности за него“ </w:t>
            </w:r>
            <w:r>
              <w:rPr>
                <w:rFonts w:ascii="Times New Roman" w:hAnsi="Times New Roman" w:cs="Times New Roman"/>
                <w:sz w:val="24"/>
                <w:szCs w:val="24"/>
              </w:rPr>
              <w:t xml:space="preserve">съдържа: </w:t>
            </w:r>
          </w:p>
          <w:p w14:paraId="7048BCE2" w14:textId="04ACA99C" w:rsidR="00AF011F" w:rsidRPr="00AF011F" w:rsidRDefault="00AF011F" w:rsidP="00440B13">
            <w:pPr>
              <w:pStyle w:val="ListParagraph"/>
              <w:tabs>
                <w:tab w:val="left" w:pos="0"/>
              </w:tabs>
              <w:spacing w:line="276" w:lineRule="auto"/>
              <w:ind w:left="0" w:firstLine="625"/>
              <w:rPr>
                <w:rFonts w:ascii="Times New Roman" w:hAnsi="Times New Roman" w:cs="Times New Roman"/>
                <w:sz w:val="24"/>
                <w:szCs w:val="24"/>
              </w:rPr>
            </w:pPr>
            <w:r w:rsidRPr="00AF011F">
              <w:rPr>
                <w:rFonts w:ascii="Times New Roman" w:hAnsi="Times New Roman" w:cs="Times New Roman"/>
                <w:sz w:val="24"/>
                <w:szCs w:val="24"/>
              </w:rPr>
              <w:t xml:space="preserve">- допустими дейности съгласно </w:t>
            </w:r>
            <w:r w:rsidR="00B409D1">
              <w:rPr>
                <w:rFonts w:ascii="Times New Roman" w:hAnsi="Times New Roman" w:cs="Times New Roman"/>
                <w:sz w:val="24"/>
                <w:szCs w:val="24"/>
              </w:rPr>
              <w:t>посочените</w:t>
            </w:r>
            <w:r>
              <w:rPr>
                <w:rFonts w:ascii="Times New Roman" w:hAnsi="Times New Roman" w:cs="Times New Roman"/>
                <w:sz w:val="24"/>
                <w:szCs w:val="24"/>
              </w:rPr>
              <w:t xml:space="preserve"> в </w:t>
            </w:r>
            <w:r w:rsidRPr="00AF011F">
              <w:rPr>
                <w:rFonts w:ascii="Times New Roman" w:hAnsi="Times New Roman" w:cs="Times New Roman"/>
                <w:sz w:val="24"/>
                <w:szCs w:val="24"/>
              </w:rPr>
              <w:t>т.</w:t>
            </w:r>
            <w:r>
              <w:rPr>
                <w:rFonts w:ascii="Times New Roman" w:hAnsi="Times New Roman" w:cs="Times New Roman"/>
                <w:sz w:val="24"/>
                <w:szCs w:val="24"/>
              </w:rPr>
              <w:t>13.3.2</w:t>
            </w:r>
            <w:r w:rsidRPr="00AF011F">
              <w:rPr>
                <w:rFonts w:ascii="Times New Roman" w:hAnsi="Times New Roman" w:cs="Times New Roman"/>
                <w:sz w:val="24"/>
                <w:szCs w:val="24"/>
              </w:rPr>
              <w:t xml:space="preserve"> ;</w:t>
            </w:r>
          </w:p>
          <w:p w14:paraId="31830D75" w14:textId="7051F3F0" w:rsidR="00AF011F" w:rsidRPr="00AF011F" w:rsidRDefault="00AF011F" w:rsidP="00440B13">
            <w:pPr>
              <w:pStyle w:val="ListParagraph"/>
              <w:tabs>
                <w:tab w:val="left" w:pos="0"/>
              </w:tabs>
              <w:spacing w:line="276" w:lineRule="auto"/>
              <w:ind w:left="0" w:firstLine="625"/>
              <w:rPr>
                <w:rFonts w:ascii="Times New Roman" w:hAnsi="Times New Roman" w:cs="Times New Roman"/>
                <w:sz w:val="24"/>
                <w:szCs w:val="24"/>
              </w:rPr>
            </w:pPr>
            <w:r w:rsidRPr="00AF011F">
              <w:rPr>
                <w:rFonts w:ascii="Times New Roman" w:hAnsi="Times New Roman" w:cs="Times New Roman"/>
                <w:sz w:val="24"/>
                <w:szCs w:val="24"/>
              </w:rPr>
              <w:t>- допустими разходи</w:t>
            </w:r>
            <w:r>
              <w:rPr>
                <w:rFonts w:ascii="Times New Roman" w:hAnsi="Times New Roman" w:cs="Times New Roman"/>
                <w:sz w:val="24"/>
                <w:szCs w:val="24"/>
              </w:rPr>
              <w:t xml:space="preserve"> съгласно посочените в т. 14.1.4</w:t>
            </w:r>
            <w:r w:rsidRPr="00AF011F">
              <w:rPr>
                <w:rFonts w:ascii="Times New Roman" w:hAnsi="Times New Roman" w:cs="Times New Roman"/>
                <w:sz w:val="24"/>
                <w:szCs w:val="24"/>
              </w:rPr>
              <w:t>;</w:t>
            </w:r>
          </w:p>
          <w:p w14:paraId="0BA815F4" w14:textId="77777777" w:rsidR="00AF011F" w:rsidRPr="00AF011F" w:rsidRDefault="00AF011F" w:rsidP="00440B13">
            <w:pPr>
              <w:pStyle w:val="ListParagraph"/>
              <w:tabs>
                <w:tab w:val="left" w:pos="0"/>
              </w:tabs>
              <w:spacing w:line="276" w:lineRule="auto"/>
              <w:ind w:left="0" w:firstLine="625"/>
              <w:rPr>
                <w:rFonts w:ascii="Times New Roman" w:hAnsi="Times New Roman" w:cs="Times New Roman"/>
                <w:sz w:val="24"/>
                <w:szCs w:val="24"/>
              </w:rPr>
            </w:pPr>
            <w:r w:rsidRPr="00AF011F">
              <w:rPr>
                <w:rFonts w:ascii="Times New Roman" w:hAnsi="Times New Roman" w:cs="Times New Roman"/>
                <w:sz w:val="24"/>
                <w:szCs w:val="24"/>
              </w:rPr>
              <w:t>- общ размер на финансовата помощ по мярката.</w:t>
            </w:r>
          </w:p>
          <w:p w14:paraId="76E2A5F9" w14:textId="3F904433" w:rsidR="008A4E64" w:rsidRDefault="003548AA" w:rsidP="00440B13">
            <w:pPr>
              <w:pStyle w:val="ListParagraph"/>
              <w:tabs>
                <w:tab w:val="left" w:pos="0"/>
                <w:tab w:val="left" w:pos="318"/>
              </w:tabs>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13.2.</w:t>
            </w:r>
            <w:r w:rsidR="00AF011F">
              <w:rPr>
                <w:rFonts w:ascii="Times New Roman" w:hAnsi="Times New Roman" w:cs="Times New Roman"/>
                <w:sz w:val="24"/>
                <w:szCs w:val="24"/>
              </w:rPr>
              <w:t>7</w:t>
            </w:r>
            <w:r>
              <w:rPr>
                <w:rFonts w:ascii="Times New Roman" w:hAnsi="Times New Roman" w:cs="Times New Roman"/>
                <w:sz w:val="24"/>
                <w:szCs w:val="24"/>
              </w:rPr>
              <w:t xml:space="preserve">. </w:t>
            </w:r>
            <w:r w:rsidR="008A4E64">
              <w:rPr>
                <w:rFonts w:ascii="Times New Roman" w:hAnsi="Times New Roman" w:cs="Times New Roman"/>
                <w:sz w:val="24"/>
                <w:szCs w:val="24"/>
              </w:rPr>
              <w:t xml:space="preserve">Финансовата помощ за дейности за сътрудничество и </w:t>
            </w:r>
            <w:r w:rsidR="007E60F6">
              <w:rPr>
                <w:rFonts w:ascii="Times New Roman" w:hAnsi="Times New Roman" w:cs="Times New Roman"/>
                <w:sz w:val="24"/>
                <w:szCs w:val="24"/>
              </w:rPr>
              <w:t>подготвителни</w:t>
            </w:r>
            <w:r w:rsidR="008A4E64">
              <w:rPr>
                <w:rFonts w:ascii="Times New Roman" w:hAnsi="Times New Roman" w:cs="Times New Roman"/>
                <w:sz w:val="24"/>
                <w:szCs w:val="24"/>
              </w:rPr>
              <w:t xml:space="preserve"> дейности за него се предоставя по условията и реда на </w:t>
            </w:r>
            <w:r w:rsidR="008A4E64" w:rsidRPr="008A4E64">
              <w:rPr>
                <w:rFonts w:ascii="Times New Roman" w:hAnsi="Times New Roman" w:cs="Times New Roman"/>
                <w:sz w:val="24"/>
                <w:szCs w:val="24"/>
              </w:rPr>
              <w:t>Раздел III.</w:t>
            </w:r>
            <w:r w:rsidR="008A4E64">
              <w:rPr>
                <w:rFonts w:ascii="Times New Roman" w:hAnsi="Times New Roman" w:cs="Times New Roman"/>
                <w:sz w:val="24"/>
                <w:szCs w:val="24"/>
              </w:rPr>
              <w:t xml:space="preserve"> „</w:t>
            </w:r>
            <w:r w:rsidR="008A4E64" w:rsidRPr="008A4E64">
              <w:rPr>
                <w:rFonts w:ascii="Times New Roman" w:hAnsi="Times New Roman" w:cs="Times New Roman"/>
                <w:sz w:val="24"/>
                <w:szCs w:val="24"/>
              </w:rPr>
              <w:t>Директно предоставяне на безвъзмездна финансова помощ</w:t>
            </w:r>
            <w:r w:rsidR="008A4E64">
              <w:rPr>
                <w:rFonts w:ascii="Times New Roman" w:hAnsi="Times New Roman" w:cs="Times New Roman"/>
                <w:sz w:val="24"/>
                <w:szCs w:val="24"/>
              </w:rPr>
              <w:t>“ на ЗУСЕФСУ.</w:t>
            </w:r>
          </w:p>
          <w:p w14:paraId="29E90F54" w14:textId="1C952209" w:rsidR="003548AA" w:rsidRDefault="008A4E64" w:rsidP="00440B13">
            <w:pPr>
              <w:tabs>
                <w:tab w:val="left" w:pos="0"/>
              </w:tabs>
              <w:spacing w:line="276" w:lineRule="auto"/>
              <w:ind w:firstLine="567"/>
              <w:jc w:val="both"/>
              <w:rPr>
                <w:rFonts w:ascii="Times New Roman" w:hAnsi="Times New Roman" w:cs="Times New Roman"/>
                <w:bCs/>
                <w:sz w:val="24"/>
                <w:szCs w:val="24"/>
              </w:rPr>
            </w:pPr>
            <w:r>
              <w:rPr>
                <w:rFonts w:ascii="Times New Roman" w:hAnsi="Times New Roman" w:cs="Times New Roman"/>
                <w:sz w:val="24"/>
                <w:szCs w:val="24"/>
              </w:rPr>
              <w:t>13.2.</w:t>
            </w:r>
            <w:r w:rsidR="00AF011F">
              <w:rPr>
                <w:rFonts w:ascii="Times New Roman" w:hAnsi="Times New Roman" w:cs="Times New Roman"/>
                <w:sz w:val="24"/>
                <w:szCs w:val="24"/>
              </w:rPr>
              <w:t>8</w:t>
            </w:r>
            <w:r>
              <w:rPr>
                <w:rFonts w:ascii="Times New Roman" w:hAnsi="Times New Roman" w:cs="Times New Roman"/>
                <w:sz w:val="24"/>
                <w:szCs w:val="24"/>
              </w:rPr>
              <w:t xml:space="preserve">. </w:t>
            </w:r>
            <w:r w:rsidR="003548AA">
              <w:rPr>
                <w:rFonts w:ascii="Times New Roman" w:hAnsi="Times New Roman" w:cs="Times New Roman"/>
                <w:sz w:val="24"/>
                <w:szCs w:val="24"/>
              </w:rPr>
              <w:t xml:space="preserve">В приложения към стратегията за ВОМР МИГ може да включи дейности, </w:t>
            </w:r>
            <w:r w:rsidR="003548AA">
              <w:rPr>
                <w:rFonts w:ascii="Times New Roman" w:hAnsi="Times New Roman" w:cs="Times New Roman"/>
                <w:sz w:val="24"/>
                <w:szCs w:val="24"/>
              </w:rPr>
              <w:lastRenderedPageBreak/>
              <w:t xml:space="preserve">подкрепени с допълващо финансиране </w:t>
            </w:r>
            <w:r w:rsidR="003548AA" w:rsidRPr="00EB72DB">
              <w:rPr>
                <w:rFonts w:ascii="Times New Roman" w:hAnsi="Times New Roman" w:cs="Times New Roman"/>
                <w:sz w:val="24"/>
                <w:szCs w:val="24"/>
              </w:rPr>
              <w:t xml:space="preserve">съгласно указанията по чл. 10 на </w:t>
            </w:r>
            <w:r w:rsidR="00BB20FC" w:rsidRPr="00BB20FC">
              <w:rPr>
                <w:rFonts w:ascii="Times New Roman" w:hAnsi="Times New Roman" w:cs="Times New Roman"/>
                <w:bCs/>
                <w:sz w:val="24"/>
                <w:szCs w:val="24"/>
              </w:rPr>
              <w:t xml:space="preserve">ПМС № </w:t>
            </w:r>
            <w:r w:rsidR="00BB20FC" w:rsidRPr="00BB20FC">
              <w:rPr>
                <w:rFonts w:ascii="Times New Roman" w:hAnsi="Times New Roman" w:cs="Times New Roman"/>
                <w:bCs/>
                <w:sz w:val="24"/>
                <w:szCs w:val="24"/>
                <w:lang w:val="en-US"/>
              </w:rPr>
              <w:t>4</w:t>
            </w:r>
            <w:r w:rsidR="00BB20FC" w:rsidRPr="00BB20FC">
              <w:rPr>
                <w:rFonts w:ascii="Times New Roman" w:hAnsi="Times New Roman" w:cs="Times New Roman"/>
                <w:bCs/>
                <w:sz w:val="24"/>
                <w:szCs w:val="24"/>
              </w:rPr>
              <w:t>94 от 2024 г.</w:t>
            </w:r>
          </w:p>
          <w:p w14:paraId="6D2C97A0" w14:textId="0E109ACB" w:rsidR="003935EC" w:rsidRPr="00FB202F" w:rsidRDefault="003935EC" w:rsidP="007541D6">
            <w:pPr>
              <w:tabs>
                <w:tab w:val="left" w:pos="0"/>
              </w:tabs>
              <w:spacing w:line="276" w:lineRule="auto"/>
              <w:ind w:firstLine="567"/>
              <w:jc w:val="both"/>
              <w:rPr>
                <w:rFonts w:ascii="Times New Roman" w:hAnsi="Times New Roman" w:cs="Times New Roman"/>
                <w:b/>
                <w:sz w:val="24"/>
                <w:szCs w:val="24"/>
              </w:rPr>
            </w:pPr>
            <w:r w:rsidRPr="00FB202F">
              <w:rPr>
                <w:rFonts w:ascii="Times New Roman" w:hAnsi="Times New Roman" w:cs="Times New Roman"/>
                <w:b/>
                <w:sz w:val="24"/>
                <w:szCs w:val="24"/>
              </w:rPr>
              <w:t>13.</w:t>
            </w:r>
            <w:r w:rsidR="00D579F8">
              <w:rPr>
                <w:rFonts w:ascii="Times New Roman" w:hAnsi="Times New Roman" w:cs="Times New Roman"/>
                <w:b/>
                <w:sz w:val="24"/>
                <w:szCs w:val="24"/>
              </w:rPr>
              <w:t>3</w:t>
            </w:r>
            <w:r w:rsidRPr="00FB202F">
              <w:rPr>
                <w:rFonts w:ascii="Times New Roman" w:hAnsi="Times New Roman" w:cs="Times New Roman"/>
                <w:b/>
                <w:sz w:val="24"/>
                <w:szCs w:val="24"/>
              </w:rPr>
              <w:t xml:space="preserve">. </w:t>
            </w:r>
            <w:r w:rsidR="003F282F" w:rsidRPr="00FB202F">
              <w:rPr>
                <w:rFonts w:ascii="Times New Roman" w:hAnsi="Times New Roman" w:cs="Times New Roman"/>
                <w:b/>
                <w:sz w:val="24"/>
                <w:szCs w:val="24"/>
              </w:rPr>
              <w:t>Видове д</w:t>
            </w:r>
            <w:r w:rsidR="0000248C" w:rsidRPr="00FB202F">
              <w:rPr>
                <w:rFonts w:ascii="Times New Roman" w:hAnsi="Times New Roman" w:cs="Times New Roman"/>
                <w:b/>
                <w:sz w:val="24"/>
                <w:szCs w:val="24"/>
              </w:rPr>
              <w:t>опустими д</w:t>
            </w:r>
            <w:r w:rsidRPr="00FB202F">
              <w:rPr>
                <w:rFonts w:ascii="Times New Roman" w:hAnsi="Times New Roman" w:cs="Times New Roman"/>
                <w:b/>
                <w:sz w:val="24"/>
                <w:szCs w:val="24"/>
              </w:rPr>
              <w:t>ейности</w:t>
            </w:r>
            <w:r w:rsidR="00A2778B">
              <w:rPr>
                <w:rFonts w:ascii="Times New Roman" w:hAnsi="Times New Roman" w:cs="Times New Roman"/>
                <w:b/>
                <w:sz w:val="24"/>
                <w:szCs w:val="24"/>
              </w:rPr>
              <w:t xml:space="preserve"> по мерките от стратегиите за ВОМР</w:t>
            </w:r>
            <w:r w:rsidRPr="00FB202F">
              <w:rPr>
                <w:rFonts w:ascii="Times New Roman" w:hAnsi="Times New Roman" w:cs="Times New Roman"/>
                <w:b/>
                <w:sz w:val="24"/>
                <w:szCs w:val="24"/>
              </w:rPr>
              <w:t>:</w:t>
            </w:r>
          </w:p>
          <w:p w14:paraId="05F8DD2E" w14:textId="77777777" w:rsidR="00933849" w:rsidRDefault="00933849" w:rsidP="007541D6">
            <w:pPr>
              <w:tabs>
                <w:tab w:val="left" w:pos="0"/>
              </w:tabs>
              <w:spacing w:line="276" w:lineRule="auto"/>
              <w:ind w:firstLine="567"/>
              <w:jc w:val="both"/>
              <w:rPr>
                <w:rFonts w:ascii="Times New Roman" w:hAnsi="Times New Roman" w:cs="Times New Roman"/>
                <w:sz w:val="24"/>
                <w:szCs w:val="24"/>
              </w:rPr>
            </w:pPr>
          </w:p>
          <w:p w14:paraId="2F37CE57" w14:textId="2DE202F1"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 xml:space="preserve">13.3.1. Допустими за финансиране по </w:t>
            </w:r>
            <w:r>
              <w:rPr>
                <w:rFonts w:ascii="Times New Roman" w:hAnsi="Times New Roman" w:cs="Times New Roman"/>
                <w:sz w:val="24"/>
                <w:szCs w:val="24"/>
              </w:rPr>
              <w:t xml:space="preserve">мерките </w:t>
            </w:r>
            <w:r w:rsidRPr="00933849">
              <w:rPr>
                <w:rFonts w:ascii="Times New Roman" w:hAnsi="Times New Roman" w:cs="Times New Roman"/>
                <w:sz w:val="24"/>
                <w:szCs w:val="24"/>
              </w:rPr>
              <w:t xml:space="preserve">от одобрената стратегия за ВОМР са </w:t>
            </w:r>
            <w:r>
              <w:rPr>
                <w:rFonts w:ascii="Times New Roman" w:hAnsi="Times New Roman" w:cs="Times New Roman"/>
                <w:sz w:val="24"/>
                <w:szCs w:val="24"/>
              </w:rPr>
              <w:t>д</w:t>
            </w:r>
            <w:r w:rsidRPr="00933849">
              <w:rPr>
                <w:rFonts w:ascii="Times New Roman" w:hAnsi="Times New Roman" w:cs="Times New Roman"/>
                <w:sz w:val="24"/>
                <w:szCs w:val="24"/>
              </w:rPr>
              <w:t>ейности, свързани с развитието на селските райони</w:t>
            </w:r>
            <w:r>
              <w:rPr>
                <w:rFonts w:ascii="Times New Roman" w:hAnsi="Times New Roman" w:cs="Times New Roman"/>
                <w:sz w:val="24"/>
                <w:szCs w:val="24"/>
              </w:rPr>
              <w:t>:</w:t>
            </w:r>
          </w:p>
          <w:p w14:paraId="0AF3B926"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а) дейности в земеделските стопанства, свързани с производството на селскостопански продукти включени в приложение I на Договора за функционирането на Европейския съюз или памук, с изключение на риба и рибни продукти;</w:t>
            </w:r>
          </w:p>
          <w:p w14:paraId="43129C9A"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б) дейности в земеделските стопанства, насочени към опазване на компонентите на околната среда за биологично производство и прецизно/интелигентно/цифрово земеделие;</w:t>
            </w:r>
          </w:p>
          <w:p w14:paraId="3C0EA9D2"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в) дейности за преработката и/или маркетинг /предлагането на пазара на продукти/, описани в Приложение І на Договора за функциониране на Европейския съюз и памук в следните сектори: мляко и млечни продукти, включително яйца от птици; · месо и месни продукти; · плодове и зеленчуци, включително гъби; · пчелен мед; · зърнени, мелничарски и нишестени продукти; · растителни и животински масла и мазнини; технически и медицински култури, включително маслодайна роза и билки; готови храни за селскостопански животни; · гроздова мъст, вино и оцет;</w:t>
            </w:r>
          </w:p>
          <w:p w14:paraId="1995AA05"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г) дейности за преработка на селскостопански продукти, насочени към опазване на компонентите на околната среда и свързани с преработката на сертифицирани биологични продукти;</w:t>
            </w:r>
          </w:p>
          <w:p w14:paraId="1DA8354B"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д) неселскостопански дейности в селските райони, свързани с:</w:t>
            </w:r>
          </w:p>
          <w:p w14:paraId="59114FEB"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 осигуряване на възможност за развитите на различни бизнес модели и икономически дейности;</w:t>
            </w:r>
          </w:p>
          <w:p w14:paraId="0833C3C4"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 информационния и технологичен сектор и създаването на творчески продукти;</w:t>
            </w:r>
          </w:p>
          <w:p w14:paraId="44E9DE11"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 xml:space="preserve"> - използване на  потенциала на населените места в селските райони, като например природни, исторически, културни и екологични дадености, включително туристически услуги, които създават условия за съживяване на местната икономиката.</w:t>
            </w:r>
          </w:p>
          <w:p w14:paraId="5AF8FDED"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 стимулиране на творческите занаяти, които са част от културното наследство и традиции;</w:t>
            </w:r>
          </w:p>
          <w:p w14:paraId="1D325F71"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 в областта на здравеопазването и социалните услуги;</w:t>
            </w:r>
          </w:p>
          <w:p w14:paraId="30842C92"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е) алтернативни неселскостопански дейности:</w:t>
            </w:r>
          </w:p>
          <w:p w14:paraId="59AEB18F"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 xml:space="preserve"> -  технология за преработка на отпадъци в предприятията, образувани от собствената им дейност, включително текстил, полимерни и каучукови отпадъци, електроуреди и др.</w:t>
            </w:r>
          </w:p>
          <w:p w14:paraId="1DDE9098"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 xml:space="preserve">- ограничаване и намаляване на пластмасовите опаковки и пластмасовите изделия за еднократна употреба, внедряване на технологии за осигуряване на съответствие на пластмасовите изделия с европейските изисквания за пластмасите за еднократна употреба, внедряване на многократни и алтернативни продукти и материали, вкл. биоразградими/рециклируеми/зелени опаковки. </w:t>
            </w:r>
          </w:p>
          <w:p w14:paraId="7E5DE24B" w14:textId="77777777"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t>-  намаляване на използваните суровини и материали, използване на алтернативни такива, както и на естествени и възобновяеми биоресурси вместо синтетични суровини в производството с цел намаляване на отпадъчния отпечатък върху природните ресурси и преход към биоикономика.</w:t>
            </w:r>
          </w:p>
          <w:p w14:paraId="72BF5798" w14:textId="3ECAC239" w:rsidR="00933849" w:rsidRDefault="00933849" w:rsidP="00933849">
            <w:pPr>
              <w:tabs>
                <w:tab w:val="left" w:pos="0"/>
              </w:tabs>
              <w:spacing w:line="276" w:lineRule="auto"/>
              <w:ind w:firstLine="567"/>
              <w:jc w:val="both"/>
              <w:rPr>
                <w:rFonts w:ascii="Times New Roman" w:hAnsi="Times New Roman" w:cs="Times New Roman"/>
                <w:sz w:val="24"/>
                <w:szCs w:val="24"/>
              </w:rPr>
            </w:pPr>
            <w:r w:rsidRPr="00933849">
              <w:rPr>
                <w:rFonts w:ascii="Times New Roman" w:hAnsi="Times New Roman" w:cs="Times New Roman"/>
                <w:sz w:val="24"/>
                <w:szCs w:val="24"/>
              </w:rPr>
              <w:lastRenderedPageBreak/>
              <w:t>ж) дейности, свързани с основни услуги и дребни по мащаби инфраструктура;</w:t>
            </w:r>
          </w:p>
          <w:p w14:paraId="0F283C13" w14:textId="63D7B32E" w:rsidR="00767BA8" w:rsidRPr="00933849" w:rsidRDefault="00767BA8" w:rsidP="00933849">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з) д</w:t>
            </w:r>
            <w:r w:rsidRPr="00767BA8">
              <w:rPr>
                <w:rFonts w:ascii="Times New Roman" w:hAnsi="Times New Roman" w:cs="Times New Roman"/>
                <w:sz w:val="24"/>
                <w:szCs w:val="24"/>
              </w:rPr>
              <w:t>опустими за услуги за широко обществено ползване са дейности, извършван</w:t>
            </w:r>
            <w:r>
              <w:rPr>
                <w:rFonts w:ascii="Times New Roman" w:hAnsi="Times New Roman" w:cs="Times New Roman"/>
                <w:sz w:val="24"/>
                <w:szCs w:val="24"/>
              </w:rPr>
              <w:t>и</w:t>
            </w:r>
            <w:r w:rsidRPr="00767BA8">
              <w:rPr>
                <w:rFonts w:ascii="Times New Roman" w:hAnsi="Times New Roman" w:cs="Times New Roman"/>
                <w:sz w:val="24"/>
                <w:szCs w:val="24"/>
              </w:rPr>
              <w:t xml:space="preserve"> върху имоти публична общинска собственост</w:t>
            </w:r>
            <w:r>
              <w:rPr>
                <w:rFonts w:ascii="Times New Roman" w:hAnsi="Times New Roman" w:cs="Times New Roman"/>
                <w:sz w:val="24"/>
                <w:szCs w:val="24"/>
              </w:rPr>
              <w:t>;</w:t>
            </w:r>
          </w:p>
          <w:p w14:paraId="31906844" w14:textId="0389DFE6" w:rsidR="00933849" w:rsidRPr="00933849" w:rsidRDefault="00767BA8" w:rsidP="00933849">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и</w:t>
            </w:r>
            <w:r w:rsidR="00933849" w:rsidRPr="00933849">
              <w:rPr>
                <w:rFonts w:ascii="Times New Roman" w:hAnsi="Times New Roman" w:cs="Times New Roman"/>
                <w:sz w:val="24"/>
                <w:szCs w:val="24"/>
              </w:rPr>
              <w:t>) запазването на духовния и културния живот на населението в селските райони;</w:t>
            </w:r>
          </w:p>
          <w:p w14:paraId="0BFCD0E6" w14:textId="5B5F3034" w:rsidR="00933849" w:rsidRPr="00933849" w:rsidRDefault="00767BA8" w:rsidP="00933849">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й</w:t>
            </w:r>
            <w:r w:rsidR="00933849" w:rsidRPr="00933849">
              <w:rPr>
                <w:rFonts w:ascii="Times New Roman" w:hAnsi="Times New Roman" w:cs="Times New Roman"/>
                <w:sz w:val="24"/>
                <w:szCs w:val="24"/>
              </w:rPr>
              <w:t>) залесяване на земеделски и неземеделски земи, възстановяване на щети по горите от горски пожари, природни бедствия и катастрофични събития и възстановяване на защитни горски пояси;</w:t>
            </w:r>
          </w:p>
          <w:p w14:paraId="7CE6B302" w14:textId="6DC916D3" w:rsidR="00933849" w:rsidRPr="00933849" w:rsidRDefault="00767BA8" w:rsidP="00933849">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к</w:t>
            </w:r>
            <w:r w:rsidR="00933849" w:rsidRPr="00933849">
              <w:rPr>
                <w:rFonts w:ascii="Times New Roman" w:hAnsi="Times New Roman" w:cs="Times New Roman"/>
                <w:sz w:val="24"/>
                <w:szCs w:val="24"/>
              </w:rPr>
              <w:t>) предотвратяване на щети по горите от горски пожари, природни бедствия и катастрофични събития;</w:t>
            </w:r>
          </w:p>
          <w:p w14:paraId="396E616B" w14:textId="567D97FC" w:rsidR="00933849" w:rsidRPr="00933849" w:rsidRDefault="00767BA8" w:rsidP="00933849">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л</w:t>
            </w:r>
            <w:r w:rsidR="00933849" w:rsidRPr="00933849">
              <w:rPr>
                <w:rFonts w:ascii="Times New Roman" w:hAnsi="Times New Roman" w:cs="Times New Roman"/>
                <w:sz w:val="24"/>
                <w:szCs w:val="24"/>
              </w:rPr>
              <w:t>) първична преработка на дървесина;</w:t>
            </w:r>
          </w:p>
          <w:p w14:paraId="5A9C0BEE" w14:textId="2B3C77CA" w:rsidR="00933849" w:rsidRPr="00933849" w:rsidRDefault="00767BA8" w:rsidP="00933849">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м</w:t>
            </w:r>
            <w:r w:rsidR="00933849" w:rsidRPr="00933849">
              <w:rPr>
                <w:rFonts w:ascii="Times New Roman" w:hAnsi="Times New Roman" w:cs="Times New Roman"/>
                <w:sz w:val="24"/>
                <w:szCs w:val="24"/>
              </w:rPr>
              <w:t>) сътрудничество за къси вериги на доставка;</w:t>
            </w:r>
          </w:p>
          <w:p w14:paraId="2F827CEF" w14:textId="49CC40AC" w:rsidR="00933849" w:rsidRPr="00933849" w:rsidRDefault="00767BA8" w:rsidP="00933849">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н</w:t>
            </w:r>
            <w:r w:rsidR="00933849" w:rsidRPr="00933849">
              <w:rPr>
                <w:rFonts w:ascii="Times New Roman" w:hAnsi="Times New Roman" w:cs="Times New Roman"/>
                <w:sz w:val="24"/>
                <w:szCs w:val="24"/>
              </w:rPr>
              <w:t>) професионално обучение и придобиване на знания;</w:t>
            </w:r>
          </w:p>
          <w:p w14:paraId="3BFF9DA3" w14:textId="3BD9DA7B" w:rsidR="00933849" w:rsidRDefault="00767BA8" w:rsidP="00933849">
            <w:pPr>
              <w:tabs>
                <w:tab w:val="left" w:pos="0"/>
              </w:tabs>
              <w:spacing w:line="276" w:lineRule="auto"/>
              <w:ind w:firstLine="567"/>
              <w:jc w:val="both"/>
              <w:rPr>
                <w:rFonts w:ascii="Times New Roman" w:hAnsi="Times New Roman" w:cs="Times New Roman"/>
                <w:bCs/>
                <w:sz w:val="24"/>
                <w:szCs w:val="24"/>
              </w:rPr>
            </w:pPr>
            <w:r>
              <w:rPr>
                <w:rFonts w:ascii="Times New Roman" w:hAnsi="Times New Roman" w:cs="Times New Roman"/>
                <w:sz w:val="24"/>
                <w:szCs w:val="24"/>
              </w:rPr>
              <w:t>о</w:t>
            </w:r>
            <w:r w:rsidR="00933849" w:rsidRPr="00933849">
              <w:rPr>
                <w:rFonts w:ascii="Times New Roman" w:hAnsi="Times New Roman" w:cs="Times New Roman"/>
                <w:sz w:val="24"/>
                <w:szCs w:val="24"/>
              </w:rPr>
              <w:t xml:space="preserve">) </w:t>
            </w:r>
            <w:r w:rsidR="00933849" w:rsidRPr="00933849">
              <w:rPr>
                <w:rFonts w:ascii="Times New Roman" w:hAnsi="Times New Roman" w:cs="Times New Roman"/>
                <w:bCs/>
                <w:sz w:val="24"/>
                <w:szCs w:val="24"/>
              </w:rPr>
              <w:t>отдих, туристическа информация и малка по мащаб туристическа инфраструк</w:t>
            </w:r>
            <w:r w:rsidR="006B1488">
              <w:rPr>
                <w:rFonts w:ascii="Times New Roman" w:hAnsi="Times New Roman" w:cs="Times New Roman"/>
                <w:bCs/>
                <w:sz w:val="24"/>
                <w:szCs w:val="24"/>
              </w:rPr>
              <w:t>тура;</w:t>
            </w:r>
          </w:p>
          <w:p w14:paraId="58E470F5" w14:textId="2F9F6BEA" w:rsidR="006B1488" w:rsidRPr="00933849" w:rsidRDefault="00767BA8" w:rsidP="00933849">
            <w:pPr>
              <w:tabs>
                <w:tab w:val="left" w:pos="0"/>
              </w:tabs>
              <w:spacing w:line="276" w:lineRule="auto"/>
              <w:ind w:firstLine="567"/>
              <w:jc w:val="both"/>
              <w:rPr>
                <w:rFonts w:ascii="Times New Roman" w:hAnsi="Times New Roman" w:cs="Times New Roman"/>
                <w:bCs/>
                <w:sz w:val="24"/>
                <w:szCs w:val="24"/>
              </w:rPr>
            </w:pPr>
            <w:r>
              <w:rPr>
                <w:rFonts w:ascii="Times New Roman" w:hAnsi="Times New Roman" w:cs="Times New Roman"/>
                <w:bCs/>
                <w:sz w:val="24"/>
                <w:szCs w:val="24"/>
              </w:rPr>
              <w:t>п</w:t>
            </w:r>
            <w:r w:rsidR="006B1488">
              <w:rPr>
                <w:rFonts w:ascii="Times New Roman" w:hAnsi="Times New Roman" w:cs="Times New Roman"/>
                <w:bCs/>
                <w:sz w:val="24"/>
                <w:szCs w:val="24"/>
              </w:rPr>
              <w:t>) други дейности, които не противоречат на условията на Регламент (ЕС) 2021/2115.</w:t>
            </w:r>
          </w:p>
          <w:p w14:paraId="584F54A0" w14:textId="04F7EDC3" w:rsidR="00933849" w:rsidRPr="00933849" w:rsidRDefault="00933849" w:rsidP="00933849">
            <w:pPr>
              <w:tabs>
                <w:tab w:val="left" w:pos="0"/>
              </w:tabs>
              <w:spacing w:line="276" w:lineRule="auto"/>
              <w:ind w:firstLine="567"/>
              <w:jc w:val="both"/>
              <w:rPr>
                <w:rFonts w:ascii="Times New Roman" w:hAnsi="Times New Roman" w:cs="Times New Roman"/>
                <w:sz w:val="24"/>
                <w:szCs w:val="24"/>
              </w:rPr>
            </w:pPr>
          </w:p>
          <w:p w14:paraId="351A4C64" w14:textId="613919F8" w:rsidR="003C2659" w:rsidRDefault="00933849" w:rsidP="007541D6">
            <w:pPr>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13.3.2. </w:t>
            </w:r>
            <w:r w:rsidR="003C2659" w:rsidRPr="00FB202F">
              <w:rPr>
                <w:rFonts w:ascii="Times New Roman" w:hAnsi="Times New Roman" w:cs="Times New Roman"/>
                <w:sz w:val="24"/>
                <w:szCs w:val="24"/>
              </w:rPr>
              <w:t>Дейностите, включени в стратегията за ВОМР следва да отговарят на местните потребности, да създават и запазват заетост за местното население, да са в полза на местния бизнес, да въвеждат иновации, да водят до подобряване на условията за живот (включително дейности, подкрепящи създаването на интелигентни селища) и на състоянието на околната среща, да водят до социално приобщаване и подобряване на социалните услуги на територията, да водят до подобряване на качеството на образованието.</w:t>
            </w:r>
          </w:p>
          <w:p w14:paraId="23CB694B" w14:textId="0AA875B8" w:rsidR="00D23DF7" w:rsidRPr="00D23DF7" w:rsidRDefault="00D23DF7" w:rsidP="00D23DF7">
            <w:pPr>
              <w:tabs>
                <w:tab w:val="left" w:pos="0"/>
              </w:tabs>
              <w:ind w:firstLine="567"/>
              <w:jc w:val="both"/>
              <w:rPr>
                <w:rFonts w:ascii="Times New Roman" w:hAnsi="Times New Roman" w:cs="Times New Roman"/>
                <w:sz w:val="24"/>
                <w:szCs w:val="24"/>
              </w:rPr>
            </w:pPr>
            <w:r>
              <w:rPr>
                <w:rFonts w:ascii="Times New Roman" w:hAnsi="Times New Roman" w:cs="Times New Roman"/>
                <w:sz w:val="24"/>
                <w:szCs w:val="24"/>
              </w:rPr>
              <w:t xml:space="preserve">13.3.3. </w:t>
            </w:r>
            <w:r w:rsidRPr="00D23DF7">
              <w:rPr>
                <w:rFonts w:ascii="Times New Roman" w:hAnsi="Times New Roman" w:cs="Times New Roman"/>
                <w:sz w:val="24"/>
                <w:szCs w:val="24"/>
              </w:rPr>
              <w:t>Всички дейности, допустими за подпомагане по мерките от стратегията са допустими за финансиране, в случай че не оказват отрицателно въздействие върху околната среда по ЗOOС.</w:t>
            </w:r>
          </w:p>
          <w:p w14:paraId="69F33D78" w14:textId="0C751DBF" w:rsidR="00A5660D" w:rsidRPr="00A5660D" w:rsidRDefault="00A5660D" w:rsidP="00A5660D">
            <w:pPr>
              <w:tabs>
                <w:tab w:val="left" w:pos="0"/>
              </w:tabs>
              <w:spacing w:line="276" w:lineRule="auto"/>
              <w:ind w:firstLine="567"/>
              <w:jc w:val="both"/>
              <w:rPr>
                <w:rFonts w:ascii="Times New Roman" w:hAnsi="Times New Roman" w:cs="Times New Roman"/>
                <w:sz w:val="24"/>
                <w:szCs w:val="24"/>
              </w:rPr>
            </w:pPr>
            <w:r w:rsidRPr="00A5660D">
              <w:rPr>
                <w:rFonts w:ascii="Times New Roman" w:hAnsi="Times New Roman" w:cs="Times New Roman"/>
                <w:sz w:val="24"/>
                <w:szCs w:val="24"/>
              </w:rPr>
              <w:t>13.</w:t>
            </w:r>
            <w:r>
              <w:rPr>
                <w:rFonts w:ascii="Times New Roman" w:hAnsi="Times New Roman" w:cs="Times New Roman"/>
                <w:sz w:val="24"/>
                <w:szCs w:val="24"/>
              </w:rPr>
              <w:t>3</w:t>
            </w:r>
            <w:r w:rsidRPr="00A5660D">
              <w:rPr>
                <w:rFonts w:ascii="Times New Roman" w:hAnsi="Times New Roman" w:cs="Times New Roman"/>
                <w:sz w:val="24"/>
                <w:szCs w:val="24"/>
              </w:rPr>
              <w:t>.</w:t>
            </w:r>
            <w:r>
              <w:rPr>
                <w:rFonts w:ascii="Times New Roman" w:hAnsi="Times New Roman" w:cs="Times New Roman"/>
                <w:sz w:val="24"/>
                <w:szCs w:val="24"/>
              </w:rPr>
              <w:t>4</w:t>
            </w:r>
            <w:r w:rsidRPr="00A5660D">
              <w:rPr>
                <w:rFonts w:ascii="Times New Roman" w:hAnsi="Times New Roman" w:cs="Times New Roman"/>
                <w:sz w:val="24"/>
                <w:szCs w:val="24"/>
              </w:rPr>
              <w:t xml:space="preserve">. Подкрепата от ЕЗФРСР се предоставя за </w:t>
            </w:r>
            <w:r w:rsidR="006B1488">
              <w:rPr>
                <w:rFonts w:ascii="Times New Roman" w:hAnsi="Times New Roman" w:cs="Times New Roman"/>
                <w:sz w:val="24"/>
                <w:szCs w:val="24"/>
              </w:rPr>
              <w:t xml:space="preserve">дейности по проекти на </w:t>
            </w:r>
            <w:r w:rsidRPr="00A5660D">
              <w:rPr>
                <w:rFonts w:ascii="Times New Roman" w:hAnsi="Times New Roman" w:cs="Times New Roman"/>
                <w:sz w:val="24"/>
                <w:szCs w:val="24"/>
              </w:rPr>
              <w:t xml:space="preserve">територията на селския район на МИГ или за друга територия, обхваната от МИГ, когато </w:t>
            </w:r>
            <w:r w:rsidR="006B1488">
              <w:rPr>
                <w:rFonts w:ascii="Times New Roman" w:hAnsi="Times New Roman" w:cs="Times New Roman"/>
                <w:sz w:val="24"/>
                <w:szCs w:val="24"/>
              </w:rPr>
              <w:t xml:space="preserve">дейностите по </w:t>
            </w:r>
            <w:r w:rsidRPr="00A5660D">
              <w:rPr>
                <w:rFonts w:ascii="Times New Roman" w:hAnsi="Times New Roman" w:cs="Times New Roman"/>
                <w:sz w:val="24"/>
                <w:szCs w:val="24"/>
              </w:rPr>
              <w:t xml:space="preserve">проектите допринасят за развитието на съответния селски район. </w:t>
            </w:r>
          </w:p>
          <w:p w14:paraId="338A0B52" w14:textId="61000682" w:rsidR="00A5660D" w:rsidRPr="00A5660D" w:rsidRDefault="00A5660D" w:rsidP="00A5660D">
            <w:pPr>
              <w:tabs>
                <w:tab w:val="left" w:pos="0"/>
              </w:tabs>
              <w:spacing w:line="276" w:lineRule="auto"/>
              <w:ind w:firstLine="567"/>
              <w:jc w:val="both"/>
              <w:rPr>
                <w:rFonts w:ascii="Times New Roman" w:hAnsi="Times New Roman" w:cs="Times New Roman"/>
                <w:sz w:val="24"/>
                <w:szCs w:val="24"/>
              </w:rPr>
            </w:pPr>
            <w:r w:rsidRPr="00A5660D">
              <w:rPr>
                <w:rFonts w:ascii="Times New Roman" w:hAnsi="Times New Roman" w:cs="Times New Roman"/>
                <w:sz w:val="24"/>
                <w:szCs w:val="24"/>
              </w:rPr>
              <w:t>13.</w:t>
            </w:r>
            <w:r>
              <w:rPr>
                <w:rFonts w:ascii="Times New Roman" w:hAnsi="Times New Roman" w:cs="Times New Roman"/>
                <w:sz w:val="24"/>
                <w:szCs w:val="24"/>
              </w:rPr>
              <w:t>3</w:t>
            </w:r>
            <w:r w:rsidRPr="00A5660D">
              <w:rPr>
                <w:rFonts w:ascii="Times New Roman" w:hAnsi="Times New Roman" w:cs="Times New Roman"/>
                <w:sz w:val="24"/>
                <w:szCs w:val="24"/>
              </w:rPr>
              <w:t>.</w:t>
            </w:r>
            <w:r>
              <w:rPr>
                <w:rFonts w:ascii="Times New Roman" w:hAnsi="Times New Roman" w:cs="Times New Roman"/>
                <w:sz w:val="24"/>
                <w:szCs w:val="24"/>
              </w:rPr>
              <w:t>5</w:t>
            </w:r>
            <w:r w:rsidRPr="00A5660D">
              <w:rPr>
                <w:rFonts w:ascii="Times New Roman" w:hAnsi="Times New Roman" w:cs="Times New Roman"/>
                <w:sz w:val="24"/>
                <w:szCs w:val="24"/>
              </w:rPr>
              <w:t xml:space="preserve">. Проектите и дейностите по тях се изпълняват на територията на МИГ, като резултатът от изпълнението от дейностите следва да е в полза на територията на МИГ. </w:t>
            </w:r>
          </w:p>
          <w:p w14:paraId="66A63999" w14:textId="11FBB193" w:rsidR="00D23DF7" w:rsidRDefault="00A5660D" w:rsidP="00A5660D">
            <w:pPr>
              <w:tabs>
                <w:tab w:val="left" w:pos="0"/>
              </w:tabs>
              <w:spacing w:line="276" w:lineRule="auto"/>
              <w:ind w:firstLine="567"/>
              <w:jc w:val="both"/>
              <w:rPr>
                <w:rFonts w:ascii="Times New Roman" w:hAnsi="Times New Roman" w:cs="Times New Roman"/>
                <w:sz w:val="24"/>
                <w:szCs w:val="24"/>
              </w:rPr>
            </w:pPr>
            <w:r w:rsidRPr="00A5660D">
              <w:rPr>
                <w:rFonts w:ascii="Times New Roman" w:hAnsi="Times New Roman" w:cs="Times New Roman"/>
                <w:sz w:val="24"/>
                <w:szCs w:val="24"/>
              </w:rPr>
              <w:t>13.</w:t>
            </w:r>
            <w:r>
              <w:rPr>
                <w:rFonts w:ascii="Times New Roman" w:hAnsi="Times New Roman" w:cs="Times New Roman"/>
                <w:sz w:val="24"/>
                <w:szCs w:val="24"/>
              </w:rPr>
              <w:t>3</w:t>
            </w:r>
            <w:r w:rsidRPr="00A5660D">
              <w:rPr>
                <w:rFonts w:ascii="Times New Roman" w:hAnsi="Times New Roman" w:cs="Times New Roman"/>
                <w:sz w:val="24"/>
                <w:szCs w:val="24"/>
              </w:rPr>
              <w:t>.</w:t>
            </w:r>
            <w:r>
              <w:rPr>
                <w:rFonts w:ascii="Times New Roman" w:hAnsi="Times New Roman" w:cs="Times New Roman"/>
                <w:sz w:val="24"/>
                <w:szCs w:val="24"/>
              </w:rPr>
              <w:t>6</w:t>
            </w:r>
            <w:r w:rsidRPr="00A5660D">
              <w:rPr>
                <w:rFonts w:ascii="Times New Roman" w:hAnsi="Times New Roman" w:cs="Times New Roman"/>
                <w:sz w:val="24"/>
                <w:szCs w:val="24"/>
              </w:rPr>
              <w:t xml:space="preserve">. Прилагането на мерки и дейности по стратегиите за ВОМР, включително за сътрудничество, следва да бъдат в съответствие с Регламент (ЕС) 2021/1060 и Регламент (ЕС) 2021/2115 и да водят до постигане на </w:t>
            </w:r>
            <w:r w:rsidR="00173A37">
              <w:rPr>
                <w:rFonts w:ascii="Times New Roman" w:hAnsi="Times New Roman" w:cs="Times New Roman"/>
                <w:sz w:val="24"/>
                <w:szCs w:val="24"/>
              </w:rPr>
              <w:t xml:space="preserve">техните </w:t>
            </w:r>
            <w:r w:rsidRPr="00A5660D">
              <w:rPr>
                <w:rFonts w:ascii="Times New Roman" w:hAnsi="Times New Roman" w:cs="Times New Roman"/>
                <w:sz w:val="24"/>
                <w:szCs w:val="24"/>
              </w:rPr>
              <w:t>цели.</w:t>
            </w:r>
          </w:p>
          <w:p w14:paraId="2F486042" w14:textId="1716BB29" w:rsidR="00440B13" w:rsidRPr="00440B13" w:rsidRDefault="00440B13" w:rsidP="00440B13">
            <w:pPr>
              <w:tabs>
                <w:tab w:val="left" w:pos="0"/>
              </w:tabs>
              <w:spacing w:line="276" w:lineRule="auto"/>
              <w:ind w:firstLine="567"/>
              <w:jc w:val="both"/>
              <w:rPr>
                <w:rFonts w:ascii="Times New Roman" w:hAnsi="Times New Roman" w:cs="Times New Roman"/>
                <w:sz w:val="24"/>
                <w:szCs w:val="24"/>
              </w:rPr>
            </w:pPr>
            <w:r w:rsidRPr="00440B13">
              <w:rPr>
                <w:rFonts w:ascii="Times New Roman" w:hAnsi="Times New Roman" w:cs="Times New Roman"/>
                <w:sz w:val="24"/>
                <w:szCs w:val="24"/>
              </w:rPr>
              <w:t>13.3.</w:t>
            </w:r>
            <w:r>
              <w:rPr>
                <w:rFonts w:ascii="Times New Roman" w:hAnsi="Times New Roman" w:cs="Times New Roman"/>
                <w:sz w:val="24"/>
                <w:szCs w:val="24"/>
              </w:rPr>
              <w:t>7</w:t>
            </w:r>
            <w:r w:rsidRPr="00440B13">
              <w:rPr>
                <w:rFonts w:ascii="Times New Roman" w:hAnsi="Times New Roman" w:cs="Times New Roman"/>
                <w:sz w:val="24"/>
                <w:szCs w:val="24"/>
              </w:rPr>
              <w:t>. Икономически дейности по проекти за финансиране от стратегията са допустими в случай че бъде доказана устойчивост и финансова жизнеспособност.</w:t>
            </w:r>
          </w:p>
          <w:p w14:paraId="06A19E6B" w14:textId="1F96651E" w:rsidR="00440B13" w:rsidRPr="00440B13" w:rsidRDefault="00440B13" w:rsidP="00440B13">
            <w:pPr>
              <w:tabs>
                <w:tab w:val="left" w:pos="0"/>
              </w:tabs>
              <w:spacing w:line="276" w:lineRule="auto"/>
              <w:ind w:firstLine="567"/>
              <w:jc w:val="both"/>
              <w:rPr>
                <w:rFonts w:ascii="Times New Roman" w:hAnsi="Times New Roman" w:cs="Times New Roman"/>
                <w:sz w:val="24"/>
                <w:szCs w:val="24"/>
              </w:rPr>
            </w:pPr>
            <w:r w:rsidRPr="00440B13">
              <w:rPr>
                <w:rFonts w:ascii="Times New Roman" w:hAnsi="Times New Roman" w:cs="Times New Roman"/>
                <w:sz w:val="24"/>
                <w:szCs w:val="24"/>
              </w:rPr>
              <w:t>13.3.</w:t>
            </w:r>
            <w:r>
              <w:rPr>
                <w:rFonts w:ascii="Times New Roman" w:hAnsi="Times New Roman" w:cs="Times New Roman"/>
                <w:sz w:val="24"/>
                <w:szCs w:val="24"/>
              </w:rPr>
              <w:t>8</w:t>
            </w:r>
            <w:r w:rsidRPr="00440B13">
              <w:rPr>
                <w:rFonts w:ascii="Times New Roman" w:hAnsi="Times New Roman" w:cs="Times New Roman"/>
                <w:sz w:val="24"/>
                <w:szCs w:val="24"/>
              </w:rPr>
              <w:t>. Непроизводствени дейности по проекти за финансиране от стратегията са допустими, в случай че не генерират приходи, с изключени когато генерират приходи, но същите се разходват само за нестопанските и/или социалните цели на организацията и свързани изцяло с целите на проекта.</w:t>
            </w:r>
          </w:p>
          <w:p w14:paraId="40D881FC" w14:textId="11D6FEF1" w:rsidR="00D23DF7" w:rsidRPr="00D23DF7" w:rsidRDefault="00D23DF7" w:rsidP="00D23DF7">
            <w:pPr>
              <w:tabs>
                <w:tab w:val="left" w:pos="0"/>
              </w:tabs>
              <w:spacing w:line="276" w:lineRule="auto"/>
              <w:ind w:firstLine="567"/>
              <w:jc w:val="both"/>
              <w:rPr>
                <w:rFonts w:ascii="Times New Roman" w:hAnsi="Times New Roman" w:cs="Times New Roman"/>
                <w:sz w:val="24"/>
                <w:szCs w:val="24"/>
              </w:rPr>
            </w:pPr>
            <w:r w:rsidRPr="00D23DF7">
              <w:rPr>
                <w:rFonts w:ascii="Times New Roman" w:hAnsi="Times New Roman" w:cs="Times New Roman"/>
                <w:sz w:val="24"/>
                <w:szCs w:val="24"/>
              </w:rPr>
              <w:t>13.3.</w:t>
            </w:r>
            <w:r w:rsidR="00440B13">
              <w:rPr>
                <w:rFonts w:ascii="Times New Roman" w:hAnsi="Times New Roman" w:cs="Times New Roman"/>
                <w:sz w:val="24"/>
                <w:szCs w:val="24"/>
              </w:rPr>
              <w:t>9</w:t>
            </w:r>
            <w:r w:rsidRPr="00D23DF7">
              <w:rPr>
                <w:rFonts w:ascii="Times New Roman" w:hAnsi="Times New Roman" w:cs="Times New Roman"/>
                <w:sz w:val="24"/>
                <w:szCs w:val="24"/>
              </w:rPr>
              <w:t>. Местните инициативни групи могат да включат в стратегиите си дейности, насочени към създаване на „интелигентни селища“ („Smart-villages“) на тяхната територия, които следва да съответстват на Регламент (EC) № 2021/2115. Дейностите се приемат за насочени към създаване на „интелигентни селища“, когато са:</w:t>
            </w:r>
          </w:p>
          <w:p w14:paraId="4CFF7A76" w14:textId="77777777" w:rsidR="00D23DF7" w:rsidRPr="00D23DF7" w:rsidRDefault="00D23DF7" w:rsidP="00D23DF7">
            <w:pPr>
              <w:numPr>
                <w:ilvl w:val="0"/>
                <w:numId w:val="34"/>
              </w:numPr>
              <w:tabs>
                <w:tab w:val="left" w:pos="0"/>
              </w:tabs>
              <w:spacing w:line="276" w:lineRule="auto"/>
              <w:jc w:val="both"/>
              <w:rPr>
                <w:rFonts w:ascii="Times New Roman" w:hAnsi="Times New Roman" w:cs="Times New Roman"/>
                <w:sz w:val="24"/>
                <w:szCs w:val="24"/>
              </w:rPr>
            </w:pPr>
            <w:r w:rsidRPr="00D23DF7">
              <w:rPr>
                <w:rFonts w:ascii="Times New Roman" w:hAnsi="Times New Roman" w:cs="Times New Roman"/>
                <w:sz w:val="24"/>
                <w:szCs w:val="24"/>
              </w:rPr>
              <w:t xml:space="preserve">свързани с подкрепа на иновативни решения за създаване на устойчиви модели – интелигентни еко селища, социални селища, IT селища и др., ландшафтно </w:t>
            </w:r>
            <w:r w:rsidRPr="00D23DF7">
              <w:rPr>
                <w:rFonts w:ascii="Times New Roman" w:hAnsi="Times New Roman" w:cs="Times New Roman"/>
                <w:sz w:val="24"/>
                <w:szCs w:val="24"/>
              </w:rPr>
              <w:lastRenderedPageBreak/>
              <w:t>планиране и реконструкция на стари сгради – използването на стари сгради или налични парцели в полза на местната общност;</w:t>
            </w:r>
          </w:p>
          <w:p w14:paraId="0009D983" w14:textId="77777777" w:rsidR="00D23DF7" w:rsidRPr="00D23DF7" w:rsidRDefault="00D23DF7" w:rsidP="00D23DF7">
            <w:pPr>
              <w:numPr>
                <w:ilvl w:val="0"/>
                <w:numId w:val="34"/>
              </w:numPr>
              <w:tabs>
                <w:tab w:val="left" w:pos="0"/>
              </w:tabs>
              <w:spacing w:line="276" w:lineRule="auto"/>
              <w:jc w:val="both"/>
              <w:rPr>
                <w:rFonts w:ascii="Times New Roman" w:hAnsi="Times New Roman" w:cs="Times New Roman"/>
                <w:sz w:val="24"/>
                <w:szCs w:val="24"/>
              </w:rPr>
            </w:pPr>
            <w:r w:rsidRPr="00D23DF7">
              <w:rPr>
                <w:rFonts w:ascii="Times New Roman" w:hAnsi="Times New Roman" w:cs="Times New Roman"/>
                <w:sz w:val="24"/>
                <w:szCs w:val="24"/>
              </w:rPr>
              <w:t>свързани с дигитализация и подобряване на телекомуникационната свързаност с цел устойчиво развитие на съответния район;</w:t>
            </w:r>
          </w:p>
          <w:p w14:paraId="14EA257F" w14:textId="77777777" w:rsidR="00D23DF7" w:rsidRPr="00D23DF7" w:rsidRDefault="00D23DF7" w:rsidP="00D23DF7">
            <w:pPr>
              <w:numPr>
                <w:ilvl w:val="0"/>
                <w:numId w:val="34"/>
              </w:numPr>
              <w:tabs>
                <w:tab w:val="left" w:pos="0"/>
              </w:tabs>
              <w:spacing w:line="276" w:lineRule="auto"/>
              <w:jc w:val="both"/>
              <w:rPr>
                <w:rFonts w:ascii="Times New Roman" w:hAnsi="Times New Roman" w:cs="Times New Roman"/>
                <w:sz w:val="24"/>
                <w:szCs w:val="24"/>
              </w:rPr>
            </w:pPr>
            <w:r w:rsidRPr="00D23DF7">
              <w:rPr>
                <w:rFonts w:ascii="Times New Roman" w:hAnsi="Times New Roman" w:cs="Times New Roman"/>
                <w:sz w:val="24"/>
                <w:szCs w:val="24"/>
              </w:rPr>
              <w:t>свързани с подобряването на условията за живот, които биха довели до задържане на населението и привличане на нови жители;</w:t>
            </w:r>
          </w:p>
          <w:p w14:paraId="75AD47BC" w14:textId="77777777" w:rsidR="00D23DF7" w:rsidRPr="00D23DF7" w:rsidRDefault="00D23DF7" w:rsidP="00D23DF7">
            <w:pPr>
              <w:numPr>
                <w:ilvl w:val="0"/>
                <w:numId w:val="34"/>
              </w:numPr>
              <w:tabs>
                <w:tab w:val="left" w:pos="0"/>
              </w:tabs>
              <w:spacing w:line="276" w:lineRule="auto"/>
              <w:jc w:val="both"/>
              <w:rPr>
                <w:rFonts w:ascii="Times New Roman" w:hAnsi="Times New Roman" w:cs="Times New Roman"/>
                <w:sz w:val="24"/>
                <w:szCs w:val="24"/>
              </w:rPr>
            </w:pPr>
            <w:r w:rsidRPr="00D23DF7">
              <w:rPr>
                <w:rFonts w:ascii="Times New Roman" w:hAnsi="Times New Roman" w:cs="Times New Roman"/>
                <w:sz w:val="24"/>
                <w:szCs w:val="24"/>
              </w:rPr>
              <w:t>свързани с изготвянето на стратегии за създаване на интелигентни селища;</w:t>
            </w:r>
          </w:p>
          <w:p w14:paraId="13A5F38D" w14:textId="77777777" w:rsidR="00D23DF7" w:rsidRPr="00D23DF7" w:rsidRDefault="00D23DF7" w:rsidP="00D23DF7">
            <w:pPr>
              <w:numPr>
                <w:ilvl w:val="0"/>
                <w:numId w:val="34"/>
              </w:numPr>
              <w:tabs>
                <w:tab w:val="left" w:pos="0"/>
              </w:tabs>
              <w:spacing w:line="276" w:lineRule="auto"/>
              <w:jc w:val="both"/>
              <w:rPr>
                <w:rFonts w:ascii="Times New Roman" w:hAnsi="Times New Roman" w:cs="Times New Roman"/>
                <w:sz w:val="24"/>
                <w:szCs w:val="24"/>
              </w:rPr>
            </w:pPr>
            <w:r w:rsidRPr="00D23DF7">
              <w:rPr>
                <w:rFonts w:ascii="Times New Roman" w:hAnsi="Times New Roman" w:cs="Times New Roman"/>
                <w:sz w:val="24"/>
                <w:szCs w:val="24"/>
              </w:rPr>
              <w:t>свързани с развитие на бизнес модели, които привличат работници и жители (временно или постоянно пребиваващи на територията) – създаването на икономическа зона, IT академия, нови селскостопански методи и технологии, устойчива селска мобилност, споделени пространства.</w:t>
            </w:r>
          </w:p>
          <w:p w14:paraId="5784718C" w14:textId="230B22EB" w:rsidR="00521095" w:rsidRPr="00FB202F" w:rsidRDefault="00A05C3A" w:rsidP="007541D6">
            <w:pPr>
              <w:tabs>
                <w:tab w:val="left" w:pos="0"/>
              </w:tabs>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rPr>
              <w:t>13.</w:t>
            </w:r>
            <w:r w:rsidR="00D579F8">
              <w:rPr>
                <w:rFonts w:ascii="Times New Roman" w:hAnsi="Times New Roman" w:cs="Times New Roman"/>
                <w:sz w:val="24"/>
                <w:szCs w:val="24"/>
              </w:rPr>
              <w:t>3</w:t>
            </w:r>
            <w:r w:rsidRPr="00FB202F">
              <w:rPr>
                <w:rFonts w:ascii="Times New Roman" w:hAnsi="Times New Roman" w:cs="Times New Roman"/>
                <w:sz w:val="24"/>
                <w:szCs w:val="24"/>
              </w:rPr>
              <w:t>.</w:t>
            </w:r>
            <w:r w:rsidR="00440B13">
              <w:rPr>
                <w:rFonts w:ascii="Times New Roman" w:hAnsi="Times New Roman" w:cs="Times New Roman"/>
                <w:sz w:val="24"/>
                <w:szCs w:val="24"/>
              </w:rPr>
              <w:t>10</w:t>
            </w:r>
            <w:r w:rsidR="006072A6" w:rsidRPr="00FB202F">
              <w:rPr>
                <w:rFonts w:ascii="Times New Roman" w:hAnsi="Times New Roman" w:cs="Times New Roman"/>
                <w:sz w:val="24"/>
                <w:szCs w:val="24"/>
              </w:rPr>
              <w:t xml:space="preserve">. </w:t>
            </w:r>
            <w:r w:rsidR="007B725E" w:rsidRPr="00FB202F">
              <w:rPr>
                <w:rFonts w:ascii="Times New Roman" w:hAnsi="Times New Roman" w:cs="Times New Roman"/>
                <w:sz w:val="24"/>
                <w:szCs w:val="24"/>
                <w:shd w:val="clear" w:color="auto" w:fill="FEFEFE"/>
              </w:rPr>
              <w:t>Дейности за сътрудничество и подготовка</w:t>
            </w:r>
            <w:r w:rsidR="006072A6" w:rsidRPr="00FB202F">
              <w:rPr>
                <w:rFonts w:ascii="Times New Roman" w:hAnsi="Times New Roman" w:cs="Times New Roman"/>
                <w:sz w:val="24"/>
                <w:szCs w:val="24"/>
                <w:shd w:val="clear" w:color="auto" w:fill="FEFEFE"/>
              </w:rPr>
              <w:t xml:space="preserve"> за него</w:t>
            </w:r>
            <w:r w:rsidR="007B725E" w:rsidRPr="00FB202F">
              <w:rPr>
                <w:rFonts w:ascii="Times New Roman" w:hAnsi="Times New Roman" w:cs="Times New Roman"/>
                <w:sz w:val="24"/>
                <w:szCs w:val="24"/>
                <w:shd w:val="clear" w:color="auto" w:fill="FEFEFE"/>
              </w:rPr>
              <w:t>.</w:t>
            </w:r>
            <w:r w:rsidR="006072A6" w:rsidRPr="00FB202F">
              <w:rPr>
                <w:rFonts w:ascii="Times New Roman" w:hAnsi="Times New Roman" w:cs="Times New Roman"/>
                <w:sz w:val="24"/>
                <w:szCs w:val="24"/>
                <w:shd w:val="clear" w:color="auto" w:fill="FEFEFE"/>
              </w:rPr>
              <w:t xml:space="preserve"> Те</w:t>
            </w:r>
            <w:r w:rsidR="00521095" w:rsidRPr="00FB202F">
              <w:rPr>
                <w:rFonts w:ascii="Times New Roman" w:hAnsi="Times New Roman" w:cs="Times New Roman"/>
                <w:sz w:val="24"/>
                <w:szCs w:val="24"/>
                <w:shd w:val="clear" w:color="auto" w:fill="FEFEFE"/>
              </w:rPr>
              <w:t xml:space="preserve"> следва да допринасят за развитието на териториите на МИГ, чрез взаимодействие и реализиране на съвместни проекти</w:t>
            </w:r>
            <w:r w:rsidR="006072A6" w:rsidRPr="00FB202F">
              <w:rPr>
                <w:rFonts w:ascii="Times New Roman" w:hAnsi="Times New Roman" w:cs="Times New Roman"/>
                <w:sz w:val="24"/>
                <w:szCs w:val="24"/>
                <w:shd w:val="clear" w:color="auto" w:fill="FEFEFE"/>
              </w:rPr>
              <w:t xml:space="preserve"> и </w:t>
            </w:r>
            <w:r w:rsidR="00521095" w:rsidRPr="00FB202F">
              <w:rPr>
                <w:rFonts w:ascii="Times New Roman" w:hAnsi="Times New Roman" w:cs="Times New Roman"/>
                <w:sz w:val="24"/>
                <w:szCs w:val="24"/>
                <w:shd w:val="clear" w:color="auto" w:fill="FEFEFE"/>
              </w:rPr>
              <w:t xml:space="preserve"> включват:</w:t>
            </w:r>
          </w:p>
          <w:p w14:paraId="0F04F675" w14:textId="4F088589" w:rsidR="00521095" w:rsidRPr="002F1854" w:rsidRDefault="00521095" w:rsidP="00DC1CA0">
            <w:pPr>
              <w:pStyle w:val="ListParagraph"/>
              <w:numPr>
                <w:ilvl w:val="0"/>
                <w:numId w:val="35"/>
              </w:numPr>
              <w:tabs>
                <w:tab w:val="left" w:pos="0"/>
              </w:tabs>
              <w:spacing w:line="276" w:lineRule="auto"/>
              <w:jc w:val="both"/>
              <w:rPr>
                <w:rFonts w:ascii="Times New Roman" w:hAnsi="Times New Roman" w:cs="Times New Roman"/>
                <w:sz w:val="24"/>
                <w:szCs w:val="24"/>
                <w:shd w:val="clear" w:color="auto" w:fill="FEFEFE"/>
              </w:rPr>
            </w:pPr>
            <w:r w:rsidRPr="002F1854">
              <w:rPr>
                <w:rFonts w:ascii="Times New Roman" w:hAnsi="Times New Roman" w:cs="Times New Roman"/>
                <w:sz w:val="24"/>
                <w:szCs w:val="24"/>
                <w:shd w:val="clear" w:color="auto" w:fill="FEFEFE"/>
              </w:rPr>
              <w:t xml:space="preserve">Разработване на съвместен продукт/услуга/дейност, вкл. разходи за материални и нематериални </w:t>
            </w:r>
            <w:r w:rsidR="007F2D54" w:rsidRPr="002F1854">
              <w:rPr>
                <w:rFonts w:ascii="Times New Roman" w:hAnsi="Times New Roman" w:cs="Times New Roman"/>
                <w:sz w:val="24"/>
                <w:szCs w:val="24"/>
                <w:shd w:val="clear" w:color="auto" w:fill="FEFEFE"/>
              </w:rPr>
              <w:t>активи</w:t>
            </w:r>
            <w:r w:rsidRPr="002F1854">
              <w:rPr>
                <w:rFonts w:ascii="Times New Roman" w:hAnsi="Times New Roman" w:cs="Times New Roman"/>
                <w:sz w:val="24"/>
                <w:szCs w:val="24"/>
                <w:shd w:val="clear" w:color="auto" w:fill="FEFEFE"/>
              </w:rPr>
              <w:t>;</w:t>
            </w:r>
          </w:p>
          <w:p w14:paraId="4C6F9DE0" w14:textId="4809991C" w:rsidR="00521095" w:rsidRPr="002F1854" w:rsidRDefault="00521095" w:rsidP="00DC1CA0">
            <w:pPr>
              <w:pStyle w:val="ListParagraph"/>
              <w:numPr>
                <w:ilvl w:val="0"/>
                <w:numId w:val="35"/>
              </w:numPr>
              <w:tabs>
                <w:tab w:val="left" w:pos="0"/>
              </w:tabs>
              <w:spacing w:line="276" w:lineRule="auto"/>
              <w:jc w:val="both"/>
              <w:rPr>
                <w:rFonts w:ascii="Times New Roman" w:hAnsi="Times New Roman" w:cs="Times New Roman"/>
                <w:sz w:val="24"/>
                <w:szCs w:val="24"/>
                <w:shd w:val="clear" w:color="auto" w:fill="FEFEFE"/>
              </w:rPr>
            </w:pPr>
            <w:r w:rsidRPr="002F1854">
              <w:rPr>
                <w:rFonts w:ascii="Times New Roman" w:hAnsi="Times New Roman" w:cs="Times New Roman"/>
                <w:sz w:val="24"/>
                <w:szCs w:val="24"/>
                <w:shd w:val="clear" w:color="auto" w:fill="FEFEFE"/>
              </w:rPr>
              <w:t>Извършване на изследвания, проучвания и анализи, директно свързани със съвместния продукт/услуга/дейност;</w:t>
            </w:r>
          </w:p>
          <w:p w14:paraId="71087D21" w14:textId="38BCAAA9" w:rsidR="00521095" w:rsidRPr="002F1854" w:rsidRDefault="00521095" w:rsidP="00DC1CA0">
            <w:pPr>
              <w:pStyle w:val="ListParagraph"/>
              <w:numPr>
                <w:ilvl w:val="0"/>
                <w:numId w:val="35"/>
              </w:numPr>
              <w:tabs>
                <w:tab w:val="left" w:pos="0"/>
              </w:tabs>
              <w:spacing w:line="276" w:lineRule="auto"/>
              <w:jc w:val="both"/>
              <w:rPr>
                <w:rFonts w:ascii="Times New Roman" w:hAnsi="Times New Roman" w:cs="Times New Roman"/>
                <w:sz w:val="24"/>
                <w:szCs w:val="24"/>
                <w:shd w:val="clear" w:color="auto" w:fill="FEFEFE"/>
              </w:rPr>
            </w:pPr>
            <w:r w:rsidRPr="002F1854">
              <w:rPr>
                <w:rFonts w:ascii="Times New Roman" w:hAnsi="Times New Roman" w:cs="Times New Roman"/>
                <w:sz w:val="24"/>
                <w:szCs w:val="24"/>
                <w:shd w:val="clear" w:color="auto" w:fill="FEFEFE"/>
              </w:rPr>
              <w:t>Реализиране на промоционални и маркетингови кампании;</w:t>
            </w:r>
          </w:p>
          <w:p w14:paraId="6DB54443" w14:textId="74032351" w:rsidR="00521095" w:rsidRPr="002F1854" w:rsidRDefault="00521095" w:rsidP="00DC1CA0">
            <w:pPr>
              <w:pStyle w:val="ListParagraph"/>
              <w:numPr>
                <w:ilvl w:val="0"/>
                <w:numId w:val="35"/>
              </w:numPr>
              <w:tabs>
                <w:tab w:val="left" w:pos="0"/>
              </w:tabs>
              <w:spacing w:line="276" w:lineRule="auto"/>
              <w:jc w:val="both"/>
              <w:rPr>
                <w:rFonts w:ascii="Times New Roman" w:hAnsi="Times New Roman" w:cs="Times New Roman"/>
                <w:sz w:val="24"/>
                <w:szCs w:val="24"/>
                <w:shd w:val="clear" w:color="auto" w:fill="FEFEFE"/>
              </w:rPr>
            </w:pPr>
            <w:r w:rsidRPr="002F1854">
              <w:rPr>
                <w:rFonts w:ascii="Times New Roman" w:hAnsi="Times New Roman" w:cs="Times New Roman"/>
                <w:sz w:val="24"/>
                <w:szCs w:val="24"/>
                <w:shd w:val="clear" w:color="auto" w:fill="FEFEFE"/>
              </w:rPr>
              <w:t>Организиране на заседания, обучения, семинари, съвместни събития, срещи с потенциални партньори или партньори по проекта;</w:t>
            </w:r>
          </w:p>
          <w:p w14:paraId="5E08A01F" w14:textId="5181F2EA" w:rsidR="00521095" w:rsidRPr="002F1854" w:rsidRDefault="00521095" w:rsidP="00DC1CA0">
            <w:pPr>
              <w:pStyle w:val="ListParagraph"/>
              <w:numPr>
                <w:ilvl w:val="0"/>
                <w:numId w:val="35"/>
              </w:numPr>
              <w:tabs>
                <w:tab w:val="left" w:pos="0"/>
              </w:tabs>
              <w:spacing w:line="276" w:lineRule="auto"/>
              <w:jc w:val="both"/>
              <w:rPr>
                <w:rFonts w:ascii="Times New Roman" w:hAnsi="Times New Roman" w:cs="Times New Roman"/>
                <w:sz w:val="24"/>
                <w:szCs w:val="24"/>
                <w:shd w:val="clear" w:color="auto" w:fill="FEFEFE"/>
              </w:rPr>
            </w:pPr>
            <w:r w:rsidRPr="002F1854">
              <w:rPr>
                <w:rFonts w:ascii="Times New Roman" w:hAnsi="Times New Roman" w:cs="Times New Roman"/>
                <w:sz w:val="24"/>
                <w:szCs w:val="24"/>
                <w:shd w:val="clear" w:color="auto" w:fill="FEFEFE"/>
              </w:rPr>
              <w:t>Извършване на информационни кампании, включващи организиране на срещи, конференции, публикуване и излъчване в медиите;</w:t>
            </w:r>
          </w:p>
          <w:p w14:paraId="0BF3A0C1" w14:textId="6F10C862" w:rsidR="00521095" w:rsidRPr="002F1854" w:rsidRDefault="00521095" w:rsidP="00DC1CA0">
            <w:pPr>
              <w:pStyle w:val="ListParagraph"/>
              <w:numPr>
                <w:ilvl w:val="0"/>
                <w:numId w:val="35"/>
              </w:numPr>
              <w:tabs>
                <w:tab w:val="left" w:pos="0"/>
              </w:tabs>
              <w:spacing w:line="276" w:lineRule="auto"/>
              <w:jc w:val="both"/>
              <w:rPr>
                <w:rFonts w:ascii="Times New Roman" w:hAnsi="Times New Roman" w:cs="Times New Roman"/>
                <w:sz w:val="24"/>
                <w:szCs w:val="24"/>
                <w:shd w:val="clear" w:color="auto" w:fill="FEFEFE"/>
              </w:rPr>
            </w:pPr>
            <w:r w:rsidRPr="002F1854">
              <w:rPr>
                <w:rFonts w:ascii="Times New Roman" w:hAnsi="Times New Roman" w:cs="Times New Roman"/>
                <w:sz w:val="24"/>
                <w:szCs w:val="24"/>
                <w:shd w:val="clear" w:color="auto" w:fill="FEFEFE"/>
              </w:rPr>
              <w:t>Дейности по координация</w:t>
            </w:r>
            <w:r w:rsidR="00E63833" w:rsidRPr="002F1854">
              <w:rPr>
                <w:rFonts w:ascii="Times New Roman" w:hAnsi="Times New Roman" w:cs="Times New Roman"/>
                <w:sz w:val="24"/>
                <w:szCs w:val="24"/>
                <w:shd w:val="clear" w:color="auto" w:fill="FEFEFE"/>
              </w:rPr>
              <w:t xml:space="preserve"> </w:t>
            </w:r>
            <w:r w:rsidRPr="002F1854">
              <w:rPr>
                <w:rFonts w:ascii="Times New Roman" w:hAnsi="Times New Roman" w:cs="Times New Roman"/>
                <w:sz w:val="24"/>
                <w:szCs w:val="24"/>
                <w:shd w:val="clear" w:color="auto" w:fill="FEFEFE"/>
              </w:rPr>
              <w:t>(извършване на разходи за наемане на допълнителен персонал, пътни разходи, разходи за нощувки и храна, хонорари за експерти, разходи за превод, разходи за комуникация).</w:t>
            </w:r>
          </w:p>
          <w:p w14:paraId="594F2B0B" w14:textId="77777777" w:rsidR="00521095" w:rsidRPr="00FB202F" w:rsidRDefault="00521095" w:rsidP="007541D6">
            <w:pPr>
              <w:tabs>
                <w:tab w:val="left" w:pos="0"/>
              </w:tabs>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Дейностите за сътрудничество трябва да отговарят на следните условия за допустимост:</w:t>
            </w:r>
          </w:p>
          <w:p w14:paraId="4D331804" w14:textId="437DB7D6" w:rsidR="00521095" w:rsidRDefault="00F935DE" w:rsidP="007541D6">
            <w:pPr>
              <w:tabs>
                <w:tab w:val="left" w:pos="0"/>
              </w:tabs>
              <w:spacing w:line="276" w:lineRule="auto"/>
              <w:ind w:firstLine="567"/>
              <w:jc w:val="both"/>
              <w:rPr>
                <w:rFonts w:ascii="Times New Roman" w:hAnsi="Times New Roman" w:cs="Times New Roman"/>
                <w:sz w:val="24"/>
                <w:szCs w:val="24"/>
                <w:shd w:val="clear" w:color="auto" w:fill="FEFEFE"/>
                <w:lang w:val="en-GB"/>
              </w:rPr>
            </w:pPr>
            <w:r w:rsidRPr="00FB202F">
              <w:rPr>
                <w:rFonts w:ascii="Times New Roman" w:hAnsi="Times New Roman" w:cs="Times New Roman"/>
                <w:sz w:val="24"/>
                <w:szCs w:val="24"/>
                <w:shd w:val="clear" w:color="auto" w:fill="FEFEFE"/>
              </w:rPr>
              <w:t>-</w:t>
            </w:r>
            <w:r w:rsidR="00521095" w:rsidRPr="00FB202F">
              <w:rPr>
                <w:rFonts w:ascii="Times New Roman" w:hAnsi="Times New Roman" w:cs="Times New Roman"/>
                <w:sz w:val="24"/>
                <w:szCs w:val="24"/>
                <w:shd w:val="clear" w:color="auto" w:fill="FEFEFE"/>
              </w:rPr>
              <w:t xml:space="preserve"> да са свързани и да водят до развитието на териториите, обхванати в конкретните  стратегии на МИГ;</w:t>
            </w:r>
          </w:p>
          <w:p w14:paraId="3C2D352F" w14:textId="0C063BCF" w:rsidR="00521095" w:rsidRDefault="00F935DE" w:rsidP="007541D6">
            <w:pPr>
              <w:tabs>
                <w:tab w:val="left" w:pos="0"/>
              </w:tabs>
              <w:spacing w:line="276" w:lineRule="auto"/>
              <w:ind w:firstLine="567"/>
              <w:jc w:val="both"/>
              <w:rPr>
                <w:rFonts w:ascii="Times New Roman" w:hAnsi="Times New Roman" w:cs="Times New Roman"/>
                <w:sz w:val="24"/>
                <w:szCs w:val="24"/>
                <w:shd w:val="clear" w:color="auto" w:fill="FEFEFE"/>
                <w:lang w:val="en-GB"/>
              </w:rPr>
            </w:pPr>
            <w:r w:rsidRPr="00FB202F">
              <w:rPr>
                <w:rFonts w:ascii="Times New Roman" w:hAnsi="Times New Roman" w:cs="Times New Roman"/>
                <w:sz w:val="24"/>
                <w:szCs w:val="24"/>
                <w:shd w:val="clear" w:color="auto" w:fill="FEFEFE"/>
              </w:rPr>
              <w:t>-</w:t>
            </w:r>
            <w:r w:rsidR="00521095" w:rsidRPr="00FB202F">
              <w:rPr>
                <w:rFonts w:ascii="Times New Roman" w:hAnsi="Times New Roman" w:cs="Times New Roman"/>
                <w:sz w:val="24"/>
                <w:szCs w:val="24"/>
                <w:shd w:val="clear" w:color="auto" w:fill="FEFEFE"/>
              </w:rPr>
              <w:t xml:space="preserve"> да съответстват на и да допринасят за постигане целите и приоритетите на стратегиите за ВОМР на съответните местни инициативни групи и СПРЗСР;</w:t>
            </w:r>
          </w:p>
          <w:p w14:paraId="499CD378" w14:textId="3BC1A0AD" w:rsidR="00B015FF" w:rsidRPr="00B015FF" w:rsidRDefault="00B015FF" w:rsidP="007541D6">
            <w:pPr>
              <w:tabs>
                <w:tab w:val="left" w:pos="0"/>
              </w:tabs>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GB"/>
              </w:rPr>
              <w:t xml:space="preserve">- </w:t>
            </w:r>
            <w:r>
              <w:rPr>
                <w:rFonts w:ascii="Times New Roman" w:hAnsi="Times New Roman" w:cs="Times New Roman"/>
                <w:sz w:val="24"/>
                <w:szCs w:val="24"/>
                <w:shd w:val="clear" w:color="auto" w:fill="FEFEFE"/>
              </w:rPr>
              <w:t>да се изпълняват съгласно сключено споразумение между най-малко двама партньори</w:t>
            </w:r>
            <w:r w:rsidR="004A335D">
              <w:rPr>
                <w:rFonts w:ascii="Times New Roman" w:hAnsi="Times New Roman" w:cs="Times New Roman"/>
                <w:sz w:val="24"/>
                <w:szCs w:val="24"/>
                <w:shd w:val="clear" w:color="auto" w:fill="FEFEFE"/>
              </w:rPr>
              <w:t xml:space="preserve"> - МИГ</w:t>
            </w:r>
            <w:r>
              <w:rPr>
                <w:rFonts w:ascii="Times New Roman" w:hAnsi="Times New Roman" w:cs="Times New Roman"/>
                <w:sz w:val="24"/>
                <w:szCs w:val="24"/>
                <w:shd w:val="clear" w:color="auto" w:fill="FEFEFE"/>
              </w:rPr>
              <w:t xml:space="preserve"> </w:t>
            </w:r>
            <w:r w:rsidR="00C97309">
              <w:rPr>
                <w:rFonts w:ascii="Times New Roman" w:hAnsi="Times New Roman" w:cs="Times New Roman"/>
                <w:sz w:val="24"/>
                <w:szCs w:val="24"/>
                <w:shd w:val="clear" w:color="auto" w:fill="FEFEFE"/>
              </w:rPr>
              <w:t>от България и</w:t>
            </w:r>
            <w:r w:rsidR="004A335D">
              <w:rPr>
                <w:rFonts w:ascii="Times New Roman" w:hAnsi="Times New Roman" w:cs="Times New Roman"/>
                <w:sz w:val="24"/>
                <w:szCs w:val="24"/>
                <w:shd w:val="clear" w:color="auto" w:fill="FEFEFE"/>
              </w:rPr>
              <w:t>/или</w:t>
            </w:r>
            <w:r w:rsidR="00C97309">
              <w:rPr>
                <w:rFonts w:ascii="Times New Roman" w:hAnsi="Times New Roman" w:cs="Times New Roman"/>
                <w:sz w:val="24"/>
                <w:szCs w:val="24"/>
                <w:shd w:val="clear" w:color="auto" w:fill="FEFEFE"/>
              </w:rPr>
              <w:t xml:space="preserve"> </w:t>
            </w:r>
            <w:r w:rsidR="004A335D">
              <w:rPr>
                <w:rFonts w:ascii="Times New Roman" w:hAnsi="Times New Roman" w:cs="Times New Roman"/>
                <w:sz w:val="24"/>
                <w:szCs w:val="24"/>
                <w:shd w:val="clear" w:color="auto" w:fill="FEFEFE"/>
              </w:rPr>
              <w:t xml:space="preserve">МИГ, изпълняващи стратегии за ВОМР от друга държава – членка от </w:t>
            </w:r>
            <w:r w:rsidR="00C97309">
              <w:rPr>
                <w:rFonts w:ascii="Times New Roman" w:hAnsi="Times New Roman" w:cs="Times New Roman"/>
                <w:sz w:val="24"/>
                <w:szCs w:val="24"/>
                <w:shd w:val="clear" w:color="auto" w:fill="FEFEFE"/>
              </w:rPr>
              <w:t>ЕС</w:t>
            </w:r>
            <w:r>
              <w:rPr>
                <w:rFonts w:ascii="Times New Roman" w:hAnsi="Times New Roman" w:cs="Times New Roman"/>
                <w:sz w:val="24"/>
                <w:szCs w:val="24"/>
                <w:shd w:val="clear" w:color="auto" w:fill="FEFEFE"/>
              </w:rPr>
              <w:t xml:space="preserve">; </w:t>
            </w:r>
          </w:p>
          <w:p w14:paraId="583B840E" w14:textId="3A4B3899" w:rsidR="00166E7E" w:rsidRPr="00FB202F" w:rsidRDefault="00166E7E" w:rsidP="007541D6">
            <w:pPr>
              <w:tabs>
                <w:tab w:val="left" w:pos="0"/>
              </w:tabs>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 в </w:t>
            </w:r>
            <w:r w:rsidR="00890B77">
              <w:rPr>
                <w:rFonts w:ascii="Times New Roman" w:hAnsi="Times New Roman" w:cs="Times New Roman"/>
                <w:sz w:val="24"/>
                <w:szCs w:val="24"/>
                <w:shd w:val="clear" w:color="auto" w:fill="FEFEFE"/>
              </w:rPr>
              <w:t xml:space="preserve">партньорството за </w:t>
            </w:r>
            <w:r>
              <w:rPr>
                <w:rFonts w:ascii="Times New Roman" w:hAnsi="Times New Roman" w:cs="Times New Roman"/>
                <w:sz w:val="24"/>
                <w:szCs w:val="24"/>
                <w:shd w:val="clear" w:color="auto" w:fill="FEFEFE"/>
              </w:rPr>
              <w:t>дейностите по сътрудничество могат да участват и други юридически лица от страната и чужбина със собствен финансов принос.</w:t>
            </w:r>
          </w:p>
          <w:p w14:paraId="766D7B07" w14:textId="1F15162B" w:rsidR="00521095" w:rsidRPr="00FB202F" w:rsidRDefault="00F935DE" w:rsidP="007541D6">
            <w:pPr>
              <w:tabs>
                <w:tab w:val="left" w:pos="0"/>
              </w:tabs>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13.</w:t>
            </w:r>
            <w:r w:rsidR="00D579F8">
              <w:rPr>
                <w:rFonts w:ascii="Times New Roman" w:hAnsi="Times New Roman" w:cs="Times New Roman"/>
                <w:sz w:val="24"/>
                <w:szCs w:val="24"/>
                <w:shd w:val="clear" w:color="auto" w:fill="FEFEFE"/>
              </w:rPr>
              <w:t>3</w:t>
            </w:r>
            <w:r w:rsidRPr="00FB202F">
              <w:rPr>
                <w:rFonts w:ascii="Times New Roman" w:hAnsi="Times New Roman" w:cs="Times New Roman"/>
                <w:sz w:val="24"/>
                <w:szCs w:val="24"/>
                <w:shd w:val="clear" w:color="auto" w:fill="FEFEFE"/>
              </w:rPr>
              <w:t>.</w:t>
            </w:r>
            <w:r w:rsidR="00440B13">
              <w:rPr>
                <w:rFonts w:ascii="Times New Roman" w:hAnsi="Times New Roman" w:cs="Times New Roman"/>
                <w:sz w:val="24"/>
                <w:szCs w:val="24"/>
                <w:shd w:val="clear" w:color="auto" w:fill="FEFEFE"/>
              </w:rPr>
              <w:t>11.</w:t>
            </w:r>
            <w:r w:rsidRPr="00FB202F">
              <w:rPr>
                <w:rFonts w:ascii="Times New Roman" w:hAnsi="Times New Roman" w:cs="Times New Roman"/>
                <w:sz w:val="24"/>
                <w:szCs w:val="24"/>
                <w:shd w:val="clear" w:color="auto" w:fill="FEFEFE"/>
              </w:rPr>
              <w:t xml:space="preserve"> </w:t>
            </w:r>
            <w:r w:rsidR="00521095" w:rsidRPr="00FB202F">
              <w:rPr>
                <w:rFonts w:ascii="Times New Roman" w:hAnsi="Times New Roman" w:cs="Times New Roman"/>
                <w:sz w:val="24"/>
                <w:szCs w:val="24"/>
                <w:shd w:val="clear" w:color="auto" w:fill="FEFEFE"/>
              </w:rPr>
              <w:t>Дейности за управление, мониторинг и оценка на стратегиите съгласно чл. 34, параграф 1, буква „в“ от Регламент (ЕС) 2021/1060, както и дейности, свързани с популяризирането на стратегиите за В</w:t>
            </w:r>
            <w:r w:rsidR="00695382">
              <w:rPr>
                <w:rFonts w:ascii="Times New Roman" w:hAnsi="Times New Roman" w:cs="Times New Roman"/>
                <w:sz w:val="24"/>
                <w:szCs w:val="24"/>
                <w:shd w:val="clear" w:color="auto" w:fill="FEFEFE"/>
              </w:rPr>
              <w:t>ОМР</w:t>
            </w:r>
            <w:r w:rsidR="00521095" w:rsidRPr="00FB202F">
              <w:rPr>
                <w:rFonts w:ascii="Times New Roman" w:hAnsi="Times New Roman" w:cs="Times New Roman"/>
                <w:sz w:val="24"/>
                <w:szCs w:val="24"/>
                <w:shd w:val="clear" w:color="auto" w:fill="FEFEFE"/>
              </w:rPr>
              <w:t>.</w:t>
            </w:r>
            <w:r w:rsidR="00EE4B7A" w:rsidRPr="00FB202F">
              <w:rPr>
                <w:rFonts w:ascii="Times New Roman" w:hAnsi="Times New Roman" w:cs="Times New Roman"/>
                <w:sz w:val="24"/>
                <w:szCs w:val="24"/>
                <w:shd w:val="clear" w:color="auto" w:fill="FEFEFE"/>
              </w:rPr>
              <w:t xml:space="preserve"> Подпомагането за дейностите по управление, мониторинг и оценка на стратегиите за ВОМР и тяхното популяризиране не може да надвишава 25 на сто от общия размер на публичния принос на ЕЗФРСР по стратегията.</w:t>
            </w:r>
          </w:p>
          <w:p w14:paraId="0EEE5689" w14:textId="209EA4C4" w:rsidR="00EE4B7A" w:rsidRDefault="00EC482E" w:rsidP="007541D6">
            <w:pPr>
              <w:tabs>
                <w:tab w:val="left" w:pos="743"/>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shd w:val="clear" w:color="auto" w:fill="FEFEFE"/>
              </w:rPr>
              <w:t>13.</w:t>
            </w:r>
            <w:r w:rsidR="00D579F8">
              <w:rPr>
                <w:rFonts w:ascii="Times New Roman" w:hAnsi="Times New Roman" w:cs="Times New Roman"/>
                <w:sz w:val="24"/>
                <w:szCs w:val="24"/>
                <w:shd w:val="clear" w:color="auto" w:fill="FEFEFE"/>
              </w:rPr>
              <w:t>3</w:t>
            </w:r>
            <w:r w:rsidRPr="00FB202F">
              <w:rPr>
                <w:rFonts w:ascii="Times New Roman" w:hAnsi="Times New Roman" w:cs="Times New Roman"/>
                <w:sz w:val="24"/>
                <w:szCs w:val="24"/>
                <w:shd w:val="clear" w:color="auto" w:fill="FEFEFE"/>
              </w:rPr>
              <w:t>.</w:t>
            </w:r>
            <w:r w:rsidR="00440B13">
              <w:rPr>
                <w:rFonts w:ascii="Times New Roman" w:hAnsi="Times New Roman" w:cs="Times New Roman"/>
                <w:sz w:val="24"/>
                <w:szCs w:val="24"/>
                <w:shd w:val="clear" w:color="auto" w:fill="FEFEFE"/>
              </w:rPr>
              <w:t>11</w:t>
            </w:r>
            <w:r w:rsidRPr="00FB202F">
              <w:rPr>
                <w:rFonts w:ascii="Times New Roman" w:hAnsi="Times New Roman" w:cs="Times New Roman"/>
                <w:sz w:val="24"/>
                <w:szCs w:val="24"/>
                <w:shd w:val="clear" w:color="auto" w:fill="FEFEFE"/>
              </w:rPr>
              <w:t xml:space="preserve">.1 </w:t>
            </w:r>
            <w:r w:rsidRPr="00FB202F">
              <w:rPr>
                <w:rFonts w:ascii="Times New Roman" w:hAnsi="Times New Roman" w:cs="Times New Roman"/>
                <w:sz w:val="24"/>
                <w:szCs w:val="24"/>
              </w:rPr>
              <w:t xml:space="preserve">Допустими за извършване са дейности по управление, мониторинг и оценка </w:t>
            </w:r>
            <w:r w:rsidRPr="00FB202F">
              <w:rPr>
                <w:rFonts w:ascii="Times New Roman" w:hAnsi="Times New Roman" w:cs="Times New Roman"/>
                <w:sz w:val="24"/>
                <w:szCs w:val="24"/>
              </w:rPr>
              <w:lastRenderedPageBreak/>
              <w:t xml:space="preserve">на стратегии за </w:t>
            </w:r>
            <w:r w:rsidR="00EE4B7A">
              <w:rPr>
                <w:rFonts w:ascii="Times New Roman" w:hAnsi="Times New Roman" w:cs="Times New Roman"/>
                <w:sz w:val="24"/>
                <w:szCs w:val="24"/>
              </w:rPr>
              <w:t>ВОМР, включително улесняването на обмена между заинтересованите страни</w:t>
            </w:r>
            <w:r w:rsidR="000325C5">
              <w:rPr>
                <w:rFonts w:ascii="Times New Roman" w:hAnsi="Times New Roman" w:cs="Times New Roman"/>
                <w:sz w:val="24"/>
                <w:szCs w:val="24"/>
              </w:rPr>
              <w:t>, съгласно одобрената стратегия</w:t>
            </w:r>
            <w:r w:rsidR="006B21C6">
              <w:rPr>
                <w:rFonts w:ascii="Times New Roman" w:hAnsi="Times New Roman" w:cs="Times New Roman"/>
                <w:sz w:val="24"/>
                <w:szCs w:val="24"/>
              </w:rPr>
              <w:t>.</w:t>
            </w:r>
            <w:r w:rsidR="0071259E">
              <w:rPr>
                <w:rFonts w:ascii="Times New Roman" w:hAnsi="Times New Roman" w:cs="Times New Roman"/>
                <w:sz w:val="24"/>
                <w:szCs w:val="24"/>
              </w:rPr>
              <w:t xml:space="preserve"> </w:t>
            </w:r>
          </w:p>
          <w:p w14:paraId="7E30ED5B" w14:textId="440713FF" w:rsidR="00EE4B7A" w:rsidRDefault="00EC482E" w:rsidP="007541D6">
            <w:pPr>
              <w:tabs>
                <w:tab w:val="left" w:pos="743"/>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shd w:val="clear" w:color="auto" w:fill="FEFEFE"/>
              </w:rPr>
              <w:t>13.</w:t>
            </w:r>
            <w:r w:rsidR="00D579F8">
              <w:rPr>
                <w:rFonts w:ascii="Times New Roman" w:hAnsi="Times New Roman" w:cs="Times New Roman"/>
                <w:sz w:val="24"/>
                <w:szCs w:val="24"/>
                <w:shd w:val="clear" w:color="auto" w:fill="FEFEFE"/>
              </w:rPr>
              <w:t>3</w:t>
            </w:r>
            <w:r w:rsidRPr="00FB202F">
              <w:rPr>
                <w:rFonts w:ascii="Times New Roman" w:hAnsi="Times New Roman" w:cs="Times New Roman"/>
                <w:sz w:val="24"/>
                <w:szCs w:val="24"/>
                <w:shd w:val="clear" w:color="auto" w:fill="FEFEFE"/>
              </w:rPr>
              <w:t>.</w:t>
            </w:r>
            <w:r w:rsidR="00440B13">
              <w:rPr>
                <w:rFonts w:ascii="Times New Roman" w:hAnsi="Times New Roman" w:cs="Times New Roman"/>
                <w:sz w:val="24"/>
                <w:szCs w:val="24"/>
                <w:shd w:val="clear" w:color="auto" w:fill="FEFEFE"/>
              </w:rPr>
              <w:t>11</w:t>
            </w:r>
            <w:r w:rsidRPr="00FB202F">
              <w:rPr>
                <w:rFonts w:ascii="Times New Roman" w:hAnsi="Times New Roman" w:cs="Times New Roman"/>
                <w:sz w:val="24"/>
                <w:szCs w:val="24"/>
                <w:shd w:val="clear" w:color="auto" w:fill="FEFEFE"/>
              </w:rPr>
              <w:t>.2</w:t>
            </w:r>
            <w:r w:rsidR="00EE4B7A">
              <w:rPr>
                <w:rFonts w:ascii="Times New Roman" w:hAnsi="Times New Roman" w:cs="Times New Roman"/>
                <w:sz w:val="24"/>
                <w:szCs w:val="24"/>
                <w:shd w:val="clear" w:color="auto" w:fill="FEFEFE"/>
              </w:rPr>
              <w:t xml:space="preserve">. </w:t>
            </w:r>
            <w:r w:rsidR="00EE4B7A" w:rsidRPr="00FB202F">
              <w:rPr>
                <w:rFonts w:ascii="Times New Roman" w:hAnsi="Times New Roman" w:cs="Times New Roman"/>
                <w:sz w:val="24"/>
                <w:szCs w:val="24"/>
              </w:rPr>
              <w:t xml:space="preserve">Допустими за извършване са дейности по </w:t>
            </w:r>
            <w:r w:rsidR="00EE4B7A">
              <w:rPr>
                <w:rFonts w:ascii="Times New Roman" w:hAnsi="Times New Roman" w:cs="Times New Roman"/>
                <w:sz w:val="24"/>
                <w:szCs w:val="24"/>
              </w:rPr>
              <w:t>популяризиране на стратегии за ВОМР</w:t>
            </w:r>
            <w:r w:rsidR="000325C5">
              <w:rPr>
                <w:rFonts w:ascii="Times New Roman" w:hAnsi="Times New Roman" w:cs="Times New Roman"/>
                <w:sz w:val="24"/>
                <w:szCs w:val="24"/>
              </w:rPr>
              <w:t xml:space="preserve">, </w:t>
            </w:r>
            <w:r w:rsidR="000325C5" w:rsidRPr="000325C5">
              <w:rPr>
                <w:rFonts w:ascii="Times New Roman" w:hAnsi="Times New Roman" w:cs="Times New Roman"/>
                <w:sz w:val="24"/>
                <w:szCs w:val="24"/>
              </w:rPr>
              <w:t>съгласно одобрената стратегия</w:t>
            </w:r>
            <w:r w:rsidR="006B21C6">
              <w:rPr>
                <w:rFonts w:ascii="Times New Roman" w:hAnsi="Times New Roman" w:cs="Times New Roman"/>
                <w:sz w:val="24"/>
                <w:szCs w:val="24"/>
              </w:rPr>
              <w:t>.</w:t>
            </w:r>
          </w:p>
          <w:p w14:paraId="7CACF02B" w14:textId="63BE89DB" w:rsidR="00117D6B" w:rsidRDefault="00117D6B" w:rsidP="007541D6">
            <w:pPr>
              <w:tabs>
                <w:tab w:val="left" w:pos="743"/>
              </w:tabs>
              <w:spacing w:line="276" w:lineRule="auto"/>
              <w:ind w:firstLine="567"/>
              <w:jc w:val="both"/>
              <w:rPr>
                <w:rFonts w:ascii="Times New Roman" w:hAnsi="Times New Roman" w:cs="Times New Roman"/>
                <w:sz w:val="24"/>
                <w:szCs w:val="24"/>
              </w:rPr>
            </w:pPr>
          </w:p>
          <w:p w14:paraId="56986782" w14:textId="4033BF78" w:rsidR="000B2684" w:rsidRPr="00FB202F" w:rsidRDefault="000B2684" w:rsidP="007541D6">
            <w:pPr>
              <w:tabs>
                <w:tab w:val="left" w:pos="743"/>
              </w:tabs>
              <w:spacing w:line="276" w:lineRule="auto"/>
              <w:ind w:firstLine="567"/>
              <w:jc w:val="both"/>
              <w:rPr>
                <w:rFonts w:ascii="Times New Roman" w:hAnsi="Times New Roman" w:cs="Times New Roman"/>
                <w:sz w:val="24"/>
                <w:szCs w:val="24"/>
              </w:rPr>
            </w:pPr>
            <w:r w:rsidRPr="00FB202F">
              <w:rPr>
                <w:rFonts w:ascii="Times New Roman" w:hAnsi="Times New Roman" w:cs="Times New Roman"/>
                <w:b/>
                <w:sz w:val="24"/>
                <w:szCs w:val="24"/>
              </w:rPr>
              <w:t>13.</w:t>
            </w:r>
            <w:r w:rsidR="00D579F8">
              <w:rPr>
                <w:rFonts w:ascii="Times New Roman" w:hAnsi="Times New Roman" w:cs="Times New Roman"/>
                <w:b/>
                <w:sz w:val="24"/>
                <w:szCs w:val="24"/>
              </w:rPr>
              <w:t>4</w:t>
            </w:r>
            <w:r w:rsidRPr="00FB202F">
              <w:rPr>
                <w:rFonts w:ascii="Times New Roman" w:hAnsi="Times New Roman" w:cs="Times New Roman"/>
                <w:b/>
                <w:sz w:val="24"/>
                <w:szCs w:val="24"/>
              </w:rPr>
              <w:t xml:space="preserve">. </w:t>
            </w:r>
            <w:r w:rsidR="003F282F" w:rsidRPr="00FB202F">
              <w:rPr>
                <w:rFonts w:ascii="Times New Roman" w:hAnsi="Times New Roman" w:cs="Times New Roman"/>
                <w:b/>
                <w:sz w:val="24"/>
                <w:szCs w:val="24"/>
              </w:rPr>
              <w:t>Нед</w:t>
            </w:r>
            <w:r w:rsidRPr="00FB202F">
              <w:rPr>
                <w:rFonts w:ascii="Times New Roman" w:hAnsi="Times New Roman" w:cs="Times New Roman"/>
                <w:b/>
                <w:sz w:val="24"/>
                <w:szCs w:val="24"/>
              </w:rPr>
              <w:t>опустими дейности:</w:t>
            </w:r>
          </w:p>
          <w:p w14:paraId="56249749" w14:textId="5767A342" w:rsidR="001B78F9" w:rsidRPr="00FB202F" w:rsidRDefault="000B2684" w:rsidP="007541D6">
            <w:pPr>
              <w:tabs>
                <w:tab w:val="left" w:pos="743"/>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В стратегиите за ВОМР не е допустимо: </w:t>
            </w:r>
          </w:p>
          <w:p w14:paraId="6FC9A339" w14:textId="5EB6F3DE" w:rsidR="007C3418" w:rsidRDefault="000B2684" w:rsidP="002F1854">
            <w:pPr>
              <w:pStyle w:val="ListParagraph"/>
              <w:numPr>
                <w:ilvl w:val="0"/>
                <w:numId w:val="16"/>
              </w:numPr>
              <w:spacing w:line="276" w:lineRule="auto"/>
              <w:ind w:left="0" w:firstLine="484"/>
              <w:jc w:val="both"/>
              <w:rPr>
                <w:rFonts w:ascii="Times New Roman" w:hAnsi="Times New Roman" w:cs="Times New Roman"/>
                <w:sz w:val="24"/>
                <w:szCs w:val="24"/>
                <w:shd w:val="clear" w:color="auto" w:fill="FEFEFE"/>
              </w:rPr>
            </w:pPr>
            <w:r w:rsidRPr="007C3418">
              <w:rPr>
                <w:rFonts w:ascii="Times New Roman" w:hAnsi="Times New Roman" w:cs="Times New Roman"/>
                <w:sz w:val="24"/>
                <w:szCs w:val="24"/>
                <w:shd w:val="clear" w:color="auto" w:fill="FEFEFE"/>
              </w:rPr>
              <w:t>включването на</w:t>
            </w:r>
            <w:r w:rsidR="00AE1C02" w:rsidRPr="007C3418">
              <w:rPr>
                <w:rFonts w:ascii="Times New Roman" w:hAnsi="Times New Roman" w:cs="Times New Roman"/>
                <w:sz w:val="24"/>
                <w:szCs w:val="24"/>
                <w:shd w:val="clear" w:color="auto" w:fill="FEFEFE"/>
              </w:rPr>
              <w:t xml:space="preserve"> </w:t>
            </w:r>
            <w:r w:rsidR="005B1203">
              <w:rPr>
                <w:rFonts w:ascii="Times New Roman" w:hAnsi="Times New Roman" w:cs="Times New Roman"/>
                <w:sz w:val="24"/>
                <w:szCs w:val="24"/>
                <w:shd w:val="clear" w:color="auto" w:fill="FEFEFE"/>
              </w:rPr>
              <w:t>дейности, финансирани от ЕЗФР</w:t>
            </w:r>
            <w:r w:rsidR="00AE1C02" w:rsidRPr="007C3418">
              <w:rPr>
                <w:rFonts w:ascii="Times New Roman" w:hAnsi="Times New Roman" w:cs="Times New Roman"/>
                <w:sz w:val="24"/>
                <w:szCs w:val="24"/>
                <w:shd w:val="clear" w:color="auto" w:fill="FEFEFE"/>
              </w:rPr>
              <w:t>СР, предвиждащи фиксирани плащания и интервенции, свързани със схеми за плащания на площ</w:t>
            </w:r>
            <w:r w:rsidR="00320F41" w:rsidRPr="007C3418">
              <w:rPr>
                <w:rFonts w:ascii="Times New Roman" w:hAnsi="Times New Roman" w:cs="Times New Roman"/>
                <w:sz w:val="24"/>
                <w:szCs w:val="24"/>
                <w:shd w:val="clear" w:color="auto" w:fill="FEFEFE"/>
              </w:rPr>
              <w:t>;</w:t>
            </w:r>
            <w:r w:rsidR="00AE1C02" w:rsidRPr="007C3418">
              <w:rPr>
                <w:rFonts w:ascii="Times New Roman" w:hAnsi="Times New Roman" w:cs="Times New Roman"/>
                <w:sz w:val="24"/>
                <w:szCs w:val="24"/>
                <w:shd w:val="clear" w:color="auto" w:fill="FEFEFE"/>
              </w:rPr>
              <w:t xml:space="preserve"> </w:t>
            </w:r>
          </w:p>
          <w:p w14:paraId="786ABD15" w14:textId="7FD80567" w:rsidR="007C3418" w:rsidRPr="007C3418" w:rsidRDefault="007C3418" w:rsidP="002F1854">
            <w:pPr>
              <w:pStyle w:val="ListParagraph"/>
              <w:numPr>
                <w:ilvl w:val="0"/>
                <w:numId w:val="16"/>
              </w:numPr>
              <w:spacing w:line="276" w:lineRule="auto"/>
              <w:ind w:left="0" w:firstLine="484"/>
              <w:jc w:val="both"/>
              <w:rPr>
                <w:rFonts w:ascii="Times New Roman" w:hAnsi="Times New Roman" w:cs="Times New Roman"/>
                <w:sz w:val="24"/>
                <w:szCs w:val="24"/>
                <w:shd w:val="clear" w:color="auto" w:fill="FEFEFE"/>
              </w:rPr>
            </w:pPr>
            <w:r w:rsidRPr="007C3418">
              <w:rPr>
                <w:rFonts w:ascii="Times New Roman" w:hAnsi="Times New Roman" w:cs="Times New Roman"/>
                <w:sz w:val="24"/>
                <w:szCs w:val="24"/>
                <w:shd w:val="clear" w:color="auto" w:fill="FEFEFE"/>
              </w:rPr>
              <w:t xml:space="preserve">включването на </w:t>
            </w:r>
            <w:r w:rsidR="005B1203">
              <w:rPr>
                <w:rFonts w:ascii="Times New Roman" w:hAnsi="Times New Roman" w:cs="Times New Roman"/>
                <w:sz w:val="24"/>
                <w:szCs w:val="24"/>
                <w:shd w:val="clear" w:color="auto" w:fill="FEFEFE"/>
              </w:rPr>
              <w:t xml:space="preserve">дейности, </w:t>
            </w:r>
            <w:r w:rsidR="00B96648">
              <w:rPr>
                <w:rFonts w:ascii="Times New Roman" w:hAnsi="Times New Roman" w:cs="Times New Roman"/>
                <w:sz w:val="24"/>
                <w:szCs w:val="24"/>
                <w:shd w:val="clear" w:color="auto" w:fill="FEFEFE"/>
              </w:rPr>
              <w:t>финансирани</w:t>
            </w:r>
            <w:r w:rsidRPr="007C3418">
              <w:rPr>
                <w:rFonts w:ascii="Times New Roman" w:hAnsi="Times New Roman" w:cs="Times New Roman"/>
                <w:sz w:val="24"/>
                <w:szCs w:val="24"/>
                <w:shd w:val="clear" w:color="auto" w:fill="FEFEFE"/>
              </w:rPr>
              <w:t xml:space="preserve"> от ЕЗФРСР, предвиждащи инвестиции за напояване;</w:t>
            </w:r>
          </w:p>
          <w:p w14:paraId="4A3E764E" w14:textId="50DB7BB4" w:rsidR="00AE1C02" w:rsidRPr="00FB202F" w:rsidRDefault="00AE1C02" w:rsidP="007C3418">
            <w:pPr>
              <w:pStyle w:val="ListParagraph"/>
              <w:numPr>
                <w:ilvl w:val="0"/>
                <w:numId w:val="16"/>
              </w:numPr>
              <w:spacing w:line="276" w:lineRule="auto"/>
              <w:ind w:left="0" w:firstLine="484"/>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включването на </w:t>
            </w:r>
            <w:r w:rsidR="007B725E" w:rsidRPr="00FB202F">
              <w:rPr>
                <w:rFonts w:ascii="Times New Roman" w:hAnsi="Times New Roman" w:cs="Times New Roman"/>
                <w:sz w:val="24"/>
                <w:szCs w:val="24"/>
                <w:shd w:val="clear" w:color="auto" w:fill="FEFEFE"/>
              </w:rPr>
              <w:t xml:space="preserve">дейности, </w:t>
            </w:r>
            <w:r w:rsidR="005B1203">
              <w:rPr>
                <w:rFonts w:ascii="Times New Roman" w:hAnsi="Times New Roman" w:cs="Times New Roman"/>
                <w:sz w:val="24"/>
                <w:szCs w:val="24"/>
                <w:shd w:val="clear" w:color="auto" w:fill="FEFEFE"/>
              </w:rPr>
              <w:t xml:space="preserve">финансирани от ЕЗФРСР, </w:t>
            </w:r>
            <w:r w:rsidR="007B725E" w:rsidRPr="00FB202F">
              <w:rPr>
                <w:rFonts w:ascii="Times New Roman" w:hAnsi="Times New Roman" w:cs="Times New Roman"/>
                <w:sz w:val="24"/>
                <w:szCs w:val="24"/>
                <w:shd w:val="clear" w:color="auto" w:fill="FEFEFE"/>
              </w:rPr>
              <w:t xml:space="preserve">свързани с извършването на </w:t>
            </w:r>
            <w:r w:rsidRPr="00FB202F">
              <w:rPr>
                <w:rFonts w:ascii="Times New Roman" w:hAnsi="Times New Roman" w:cs="Times New Roman"/>
                <w:sz w:val="24"/>
                <w:szCs w:val="24"/>
                <w:shd w:val="clear" w:color="auto" w:fill="FEFEFE"/>
              </w:rPr>
              <w:t xml:space="preserve">разходи за </w:t>
            </w:r>
            <w:r w:rsidR="00C51849">
              <w:rPr>
                <w:rFonts w:ascii="Times New Roman" w:hAnsi="Times New Roman" w:cs="Times New Roman"/>
                <w:sz w:val="24"/>
                <w:szCs w:val="24"/>
                <w:shd w:val="clear" w:color="auto" w:fill="FEFEFE"/>
              </w:rPr>
              <w:t xml:space="preserve">публична </w:t>
            </w:r>
            <w:r w:rsidRPr="00FB202F">
              <w:rPr>
                <w:rFonts w:ascii="Times New Roman" w:hAnsi="Times New Roman" w:cs="Times New Roman"/>
                <w:sz w:val="24"/>
                <w:szCs w:val="24"/>
                <w:shd w:val="clear" w:color="auto" w:fill="FEFEFE"/>
              </w:rPr>
              <w:t xml:space="preserve">инфраструктура, </w:t>
            </w:r>
            <w:r w:rsidR="00C51849">
              <w:rPr>
                <w:rFonts w:ascii="Times New Roman" w:hAnsi="Times New Roman" w:cs="Times New Roman"/>
                <w:sz w:val="24"/>
                <w:szCs w:val="24"/>
                <w:shd w:val="clear" w:color="auto" w:fill="FEFEFE"/>
              </w:rPr>
              <w:t xml:space="preserve">свързана с </w:t>
            </w:r>
            <w:r w:rsidRPr="00FB202F">
              <w:rPr>
                <w:rFonts w:ascii="Times New Roman" w:hAnsi="Times New Roman" w:cs="Times New Roman"/>
                <w:sz w:val="24"/>
                <w:szCs w:val="24"/>
                <w:shd w:val="clear" w:color="auto" w:fill="FEFEFE"/>
              </w:rPr>
              <w:t xml:space="preserve">пътища, </w:t>
            </w:r>
            <w:proofErr w:type="spellStart"/>
            <w:r w:rsidRPr="00FB202F">
              <w:rPr>
                <w:rFonts w:ascii="Times New Roman" w:hAnsi="Times New Roman" w:cs="Times New Roman"/>
                <w:sz w:val="24"/>
                <w:szCs w:val="24"/>
                <w:shd w:val="clear" w:color="auto" w:fill="FEFEFE"/>
              </w:rPr>
              <w:t>водопреносни</w:t>
            </w:r>
            <w:proofErr w:type="spellEnd"/>
            <w:r w:rsidRPr="00FB202F">
              <w:rPr>
                <w:rFonts w:ascii="Times New Roman" w:hAnsi="Times New Roman" w:cs="Times New Roman"/>
                <w:sz w:val="24"/>
                <w:szCs w:val="24"/>
                <w:shd w:val="clear" w:color="auto" w:fill="FEFEFE"/>
              </w:rPr>
              <w:t xml:space="preserve"> и канализационни системи, освен ако не са част от по-голям проект или не са свързани с дейности, отговарящи на конц</w:t>
            </w:r>
            <w:r w:rsidR="00320F41" w:rsidRPr="00FB202F">
              <w:rPr>
                <w:rFonts w:ascii="Times New Roman" w:hAnsi="Times New Roman" w:cs="Times New Roman"/>
                <w:sz w:val="24"/>
                <w:szCs w:val="24"/>
                <w:shd w:val="clear" w:color="auto" w:fill="FEFEFE"/>
              </w:rPr>
              <w:t>епцията за интелигентни селища;</w:t>
            </w:r>
          </w:p>
          <w:p w14:paraId="13B638BB" w14:textId="1D5438AE" w:rsidR="0000248C" w:rsidRPr="00FB202F" w:rsidRDefault="00320F41" w:rsidP="003D344A">
            <w:pPr>
              <w:spacing w:line="276" w:lineRule="auto"/>
              <w:ind w:firstLine="484"/>
              <w:jc w:val="both"/>
              <w:rPr>
                <w:rFonts w:ascii="Times New Roman" w:hAnsi="Times New Roman" w:cs="Times New Roman"/>
                <w:b/>
                <w:sz w:val="24"/>
                <w:szCs w:val="24"/>
                <w:highlight w:val="yellow"/>
                <w:shd w:val="clear" w:color="auto" w:fill="FEFEFE"/>
              </w:rPr>
            </w:pPr>
            <w:r w:rsidRPr="00FB202F">
              <w:rPr>
                <w:rFonts w:ascii="Times New Roman" w:hAnsi="Times New Roman" w:cs="Times New Roman"/>
                <w:sz w:val="24"/>
                <w:szCs w:val="24"/>
                <w:shd w:val="clear" w:color="auto" w:fill="FEFEFE"/>
              </w:rPr>
              <w:t>-</w:t>
            </w:r>
            <w:r w:rsidR="00AE1C02" w:rsidRPr="00FB202F">
              <w:rPr>
                <w:rFonts w:ascii="Times New Roman" w:hAnsi="Times New Roman" w:cs="Times New Roman"/>
                <w:sz w:val="24"/>
                <w:szCs w:val="24"/>
                <w:shd w:val="clear" w:color="auto" w:fill="FEFEFE"/>
              </w:rPr>
              <w:t xml:space="preserve"> подкрепата за </w:t>
            </w:r>
            <w:r w:rsidR="007B725E" w:rsidRPr="00FB202F">
              <w:rPr>
                <w:rFonts w:ascii="Times New Roman" w:hAnsi="Times New Roman" w:cs="Times New Roman"/>
                <w:sz w:val="24"/>
                <w:szCs w:val="24"/>
                <w:shd w:val="clear" w:color="auto" w:fill="FEFEFE"/>
              </w:rPr>
              <w:t xml:space="preserve">дейности, </w:t>
            </w:r>
            <w:r w:rsidR="00B704CD">
              <w:rPr>
                <w:rFonts w:ascii="Times New Roman" w:hAnsi="Times New Roman" w:cs="Times New Roman"/>
                <w:sz w:val="24"/>
                <w:szCs w:val="24"/>
                <w:shd w:val="clear" w:color="auto" w:fill="FEFEFE"/>
              </w:rPr>
              <w:t>финансирани</w:t>
            </w:r>
            <w:r w:rsidR="005B1203">
              <w:rPr>
                <w:rFonts w:ascii="Times New Roman" w:hAnsi="Times New Roman" w:cs="Times New Roman"/>
                <w:sz w:val="24"/>
                <w:szCs w:val="24"/>
                <w:shd w:val="clear" w:color="auto" w:fill="FEFEFE"/>
              </w:rPr>
              <w:t xml:space="preserve"> от ЕЗФРСР, </w:t>
            </w:r>
            <w:r w:rsidR="007B725E" w:rsidRPr="00FB202F">
              <w:rPr>
                <w:rFonts w:ascii="Times New Roman" w:hAnsi="Times New Roman" w:cs="Times New Roman"/>
                <w:sz w:val="24"/>
                <w:szCs w:val="24"/>
                <w:shd w:val="clear" w:color="auto" w:fill="FEFEFE"/>
              </w:rPr>
              <w:t xml:space="preserve">свързани с извършването на </w:t>
            </w:r>
            <w:r w:rsidR="00AE1C02" w:rsidRPr="00FB202F">
              <w:rPr>
                <w:rFonts w:ascii="Times New Roman" w:hAnsi="Times New Roman" w:cs="Times New Roman"/>
                <w:sz w:val="24"/>
                <w:szCs w:val="24"/>
                <w:shd w:val="clear" w:color="auto" w:fill="FEFEFE"/>
              </w:rPr>
              <w:t>основни земеделски инвестиции с изключение на такива, предвидени за социално земеделие и</w:t>
            </w:r>
            <w:r w:rsidR="0047114E">
              <w:rPr>
                <w:rFonts w:ascii="Times New Roman" w:hAnsi="Times New Roman" w:cs="Times New Roman"/>
                <w:sz w:val="24"/>
                <w:szCs w:val="24"/>
                <w:shd w:val="clear" w:color="auto" w:fill="FEFEFE"/>
              </w:rPr>
              <w:t>/или</w:t>
            </w:r>
            <w:r w:rsidR="00AE1C02" w:rsidRPr="00FB202F">
              <w:rPr>
                <w:rFonts w:ascii="Times New Roman" w:hAnsi="Times New Roman" w:cs="Times New Roman"/>
                <w:sz w:val="24"/>
                <w:szCs w:val="24"/>
                <w:shd w:val="clear" w:color="auto" w:fill="FEFEFE"/>
              </w:rPr>
              <w:t xml:space="preserve"> такива, свързани с колективни инвестиции</w:t>
            </w:r>
            <w:r w:rsidRPr="00FB202F">
              <w:rPr>
                <w:rFonts w:ascii="Times New Roman" w:hAnsi="Times New Roman" w:cs="Times New Roman"/>
                <w:sz w:val="24"/>
                <w:szCs w:val="24"/>
                <w:shd w:val="clear" w:color="auto" w:fill="FEFEFE"/>
              </w:rPr>
              <w:t>.</w:t>
            </w:r>
            <w:r w:rsidR="003D344A">
              <w:rPr>
                <w:rFonts w:ascii="Times New Roman" w:hAnsi="Times New Roman" w:cs="Times New Roman"/>
                <w:sz w:val="24"/>
                <w:szCs w:val="24"/>
                <w:shd w:val="clear" w:color="auto" w:fill="FEFEFE"/>
              </w:rPr>
              <w:t xml:space="preserve"> </w:t>
            </w:r>
          </w:p>
        </w:tc>
      </w:tr>
    </w:tbl>
    <w:p w14:paraId="4E34F5E7"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3FD2183B" w14:textId="77777777" w:rsidTr="000D7565">
        <w:tc>
          <w:tcPr>
            <w:tcW w:w="9781" w:type="dxa"/>
          </w:tcPr>
          <w:p w14:paraId="60CA7529" w14:textId="53608E4D" w:rsidR="003935EC" w:rsidRPr="00FB202F" w:rsidRDefault="00C908B3" w:rsidP="007541D6">
            <w:pPr>
              <w:tabs>
                <w:tab w:val="left" w:pos="0"/>
                <w:tab w:val="left" w:pos="709"/>
              </w:tabs>
              <w:spacing w:line="276" w:lineRule="auto"/>
              <w:ind w:firstLine="567"/>
              <w:contextualSpacing/>
              <w:jc w:val="both"/>
              <w:rPr>
                <w:rFonts w:ascii="Times New Roman" w:hAnsi="Times New Roman" w:cs="Times New Roman"/>
                <w:b/>
                <w:sz w:val="24"/>
                <w:szCs w:val="24"/>
              </w:rPr>
            </w:pPr>
            <w:r>
              <w:rPr>
                <w:rFonts w:ascii="Times New Roman" w:hAnsi="Times New Roman" w:cs="Times New Roman"/>
                <w:b/>
                <w:sz w:val="24"/>
                <w:szCs w:val="24"/>
              </w:rPr>
              <w:t xml:space="preserve">14.1. </w:t>
            </w:r>
            <w:r w:rsidR="002E4D14" w:rsidRPr="00FB202F">
              <w:rPr>
                <w:rFonts w:ascii="Times New Roman" w:hAnsi="Times New Roman" w:cs="Times New Roman"/>
                <w:b/>
                <w:sz w:val="24"/>
                <w:szCs w:val="24"/>
              </w:rPr>
              <w:t>Р</w:t>
            </w:r>
            <w:r w:rsidR="003935EC" w:rsidRPr="00FB202F">
              <w:rPr>
                <w:rFonts w:ascii="Times New Roman" w:hAnsi="Times New Roman" w:cs="Times New Roman"/>
                <w:b/>
                <w:sz w:val="24"/>
                <w:szCs w:val="24"/>
              </w:rPr>
              <w:t>азходи, допустими за финансиране</w:t>
            </w:r>
          </w:p>
          <w:p w14:paraId="559B8D01" w14:textId="0FD94E6D" w:rsidR="00521095" w:rsidRPr="00FB202F" w:rsidRDefault="000A5031" w:rsidP="00044F85">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14.1.</w:t>
            </w:r>
            <w:proofErr w:type="spellStart"/>
            <w:r w:rsidR="00C908B3">
              <w:rPr>
                <w:rFonts w:ascii="Times New Roman" w:hAnsi="Times New Roman" w:cs="Times New Roman"/>
                <w:sz w:val="24"/>
                <w:szCs w:val="24"/>
                <w:shd w:val="clear" w:color="auto" w:fill="FEFEFE"/>
              </w:rPr>
              <w:t>1</w:t>
            </w:r>
            <w:proofErr w:type="spellEnd"/>
            <w:r w:rsidR="00C908B3">
              <w:rPr>
                <w:rFonts w:ascii="Times New Roman" w:hAnsi="Times New Roman" w:cs="Times New Roman"/>
                <w:sz w:val="24"/>
                <w:szCs w:val="24"/>
                <w:shd w:val="clear" w:color="auto" w:fill="FEFEFE"/>
              </w:rPr>
              <w:t>.</w:t>
            </w:r>
            <w:r w:rsidRPr="00FB202F">
              <w:rPr>
                <w:rFonts w:ascii="Times New Roman" w:hAnsi="Times New Roman" w:cs="Times New Roman"/>
                <w:sz w:val="24"/>
                <w:szCs w:val="24"/>
                <w:shd w:val="clear" w:color="auto" w:fill="FEFEFE"/>
              </w:rPr>
              <w:t xml:space="preserve"> </w:t>
            </w:r>
            <w:r w:rsidR="00521095" w:rsidRPr="00FB202F">
              <w:rPr>
                <w:rFonts w:ascii="Times New Roman" w:hAnsi="Times New Roman" w:cs="Times New Roman"/>
                <w:sz w:val="24"/>
                <w:szCs w:val="24"/>
                <w:shd w:val="clear" w:color="auto" w:fill="FEFEFE"/>
              </w:rPr>
              <w:t>Допустими за подкрепа чрез стратегиите за ВОМР</w:t>
            </w:r>
            <w:r w:rsidR="00A26AC1">
              <w:rPr>
                <w:rFonts w:ascii="Times New Roman" w:hAnsi="Times New Roman" w:cs="Times New Roman"/>
                <w:sz w:val="24"/>
                <w:szCs w:val="24"/>
                <w:shd w:val="clear" w:color="auto" w:fill="FEFEFE"/>
              </w:rPr>
              <w:t xml:space="preserve"> са следните разходи</w:t>
            </w:r>
            <w:r w:rsidR="00521095" w:rsidRPr="00FB202F">
              <w:rPr>
                <w:rFonts w:ascii="Times New Roman" w:hAnsi="Times New Roman" w:cs="Times New Roman"/>
                <w:sz w:val="24"/>
                <w:szCs w:val="24"/>
                <w:shd w:val="clear" w:color="auto" w:fill="FEFEFE"/>
              </w:rPr>
              <w:t>:</w:t>
            </w:r>
          </w:p>
          <w:p w14:paraId="30AA1F3F" w14:textId="226E749E" w:rsidR="00BA6270" w:rsidRDefault="002E4D14"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14.1.</w:t>
            </w:r>
            <w:proofErr w:type="spellStart"/>
            <w:r w:rsidR="00C908B3">
              <w:rPr>
                <w:rFonts w:ascii="Times New Roman" w:hAnsi="Times New Roman" w:cs="Times New Roman"/>
                <w:sz w:val="24"/>
                <w:szCs w:val="24"/>
                <w:shd w:val="clear" w:color="auto" w:fill="FEFEFE"/>
              </w:rPr>
              <w:t>1</w:t>
            </w:r>
            <w:proofErr w:type="spellEnd"/>
            <w:r w:rsidR="00C908B3">
              <w:rPr>
                <w:rFonts w:ascii="Times New Roman" w:hAnsi="Times New Roman" w:cs="Times New Roman"/>
                <w:sz w:val="24"/>
                <w:szCs w:val="24"/>
                <w:shd w:val="clear" w:color="auto" w:fill="FEFEFE"/>
              </w:rPr>
              <w:t>.</w:t>
            </w:r>
            <w:r w:rsidR="00521095" w:rsidRPr="00FB202F">
              <w:rPr>
                <w:rFonts w:ascii="Times New Roman" w:hAnsi="Times New Roman" w:cs="Times New Roman"/>
                <w:sz w:val="24"/>
                <w:szCs w:val="24"/>
                <w:shd w:val="clear" w:color="auto" w:fill="FEFEFE"/>
              </w:rPr>
              <w:t xml:space="preserve">1. </w:t>
            </w:r>
            <w:r w:rsidR="007C16E7">
              <w:rPr>
                <w:rFonts w:ascii="Times New Roman" w:hAnsi="Times New Roman" w:cs="Times New Roman"/>
                <w:sz w:val="24"/>
                <w:szCs w:val="24"/>
                <w:shd w:val="clear" w:color="auto" w:fill="FEFEFE"/>
              </w:rPr>
              <w:t xml:space="preserve">инвестиционни </w:t>
            </w:r>
            <w:r w:rsidR="00521095" w:rsidRPr="00FB202F">
              <w:rPr>
                <w:rFonts w:ascii="Times New Roman" w:hAnsi="Times New Roman" w:cs="Times New Roman"/>
                <w:sz w:val="24"/>
                <w:szCs w:val="24"/>
                <w:shd w:val="clear" w:color="auto" w:fill="FEFEFE"/>
              </w:rPr>
              <w:t xml:space="preserve">разходи </w:t>
            </w:r>
            <w:r w:rsidR="00FF7400">
              <w:rPr>
                <w:rFonts w:ascii="Times New Roman" w:hAnsi="Times New Roman" w:cs="Times New Roman"/>
                <w:sz w:val="24"/>
                <w:szCs w:val="24"/>
                <w:shd w:val="clear" w:color="auto" w:fill="FEFEFE"/>
              </w:rPr>
              <w:t>съгласно чл. 73 от</w:t>
            </w:r>
            <w:r w:rsidR="00521095" w:rsidRPr="00FB202F">
              <w:rPr>
                <w:rFonts w:ascii="Times New Roman" w:hAnsi="Times New Roman" w:cs="Times New Roman"/>
                <w:sz w:val="24"/>
                <w:szCs w:val="24"/>
                <w:shd w:val="clear" w:color="auto" w:fill="FEFEFE"/>
              </w:rPr>
              <w:t xml:space="preserve"> Регламент (EC) № 2021/2115</w:t>
            </w:r>
            <w:r w:rsidR="00BA6270">
              <w:rPr>
                <w:rFonts w:ascii="Times New Roman" w:hAnsi="Times New Roman" w:cs="Times New Roman"/>
                <w:sz w:val="24"/>
                <w:szCs w:val="24"/>
                <w:shd w:val="clear" w:color="auto" w:fill="FEFEFE"/>
              </w:rPr>
              <w:t xml:space="preserve">: </w:t>
            </w:r>
          </w:p>
          <w:p w14:paraId="18C668F2" w14:textId="77777777" w:rsidR="00BA6270" w:rsidRPr="00BA6270" w:rsidRDefault="00BA6270" w:rsidP="00BA6270">
            <w:pPr>
              <w:spacing w:line="276" w:lineRule="auto"/>
              <w:ind w:firstLine="625"/>
              <w:jc w:val="both"/>
              <w:rPr>
                <w:rFonts w:ascii="Times New Roman" w:eastAsia="Calibri" w:hAnsi="Times New Roman" w:cs="Times New Roman"/>
                <w:noProof/>
                <w:sz w:val="24"/>
                <w:szCs w:val="24"/>
              </w:rPr>
            </w:pPr>
            <w:r w:rsidRPr="00BA6270">
              <w:rPr>
                <w:rFonts w:ascii="Times New Roman" w:eastAsia="Calibri" w:hAnsi="Times New Roman" w:cs="Times New Roman"/>
                <w:noProof/>
                <w:sz w:val="24"/>
                <w:szCs w:val="24"/>
              </w:rPr>
              <w:t>а) строително-монтажни работи за изграждане, ремонт, реконструкция, преустройство, поддръжка или възстановяване;</w:t>
            </w:r>
          </w:p>
          <w:p w14:paraId="0EB4D965" w14:textId="77777777" w:rsidR="00BA6270" w:rsidRPr="00BA6270" w:rsidRDefault="00BA6270" w:rsidP="00BA6270">
            <w:pPr>
              <w:spacing w:line="276" w:lineRule="auto"/>
              <w:ind w:firstLine="625"/>
              <w:jc w:val="both"/>
              <w:rPr>
                <w:rFonts w:ascii="Times New Roman" w:eastAsia="Calibri" w:hAnsi="Times New Roman" w:cs="Times New Roman"/>
                <w:noProof/>
                <w:sz w:val="24"/>
                <w:szCs w:val="24"/>
              </w:rPr>
            </w:pPr>
            <w:r w:rsidRPr="00BA6270">
              <w:rPr>
                <w:rFonts w:ascii="Times New Roman" w:eastAsia="Calibri" w:hAnsi="Times New Roman" w:cs="Times New Roman"/>
                <w:noProof/>
                <w:sz w:val="24"/>
                <w:szCs w:val="24"/>
              </w:rPr>
              <w:t xml:space="preserve">б) </w:t>
            </w:r>
            <w:r w:rsidRPr="00BA6270">
              <w:rPr>
                <w:rFonts w:ascii="Times New Roman" w:eastAsia="Calibri" w:hAnsi="Times New Roman" w:cs="Times New Roman"/>
                <w:noProof/>
                <w:sz w:val="24"/>
                <w:szCs w:val="24"/>
                <w:u w:val="single"/>
              </w:rPr>
              <w:t>закупуване на нови машини, съоръжения, оборудване и обзавеждане, включително безпилотни летателни системи и прилежащия към тях инвентар;</w:t>
            </w:r>
          </w:p>
          <w:p w14:paraId="4B04A420" w14:textId="77777777" w:rsidR="00BA6270" w:rsidRPr="00BA6270" w:rsidRDefault="00BA6270" w:rsidP="00BA6270">
            <w:pPr>
              <w:spacing w:line="276" w:lineRule="auto"/>
              <w:ind w:firstLine="625"/>
              <w:jc w:val="both"/>
              <w:rPr>
                <w:rFonts w:ascii="Times New Roman" w:eastAsia="Calibri" w:hAnsi="Times New Roman" w:cs="Times New Roman"/>
                <w:noProof/>
                <w:sz w:val="24"/>
                <w:szCs w:val="24"/>
              </w:rPr>
            </w:pPr>
            <w:r w:rsidRPr="00BA6270">
              <w:rPr>
                <w:rFonts w:ascii="Times New Roman" w:eastAsia="Calibri" w:hAnsi="Times New Roman" w:cs="Times New Roman"/>
                <w:noProof/>
                <w:sz w:val="24"/>
                <w:szCs w:val="24"/>
              </w:rPr>
              <w:t>в) Общи разходи, свързани с основните разходи по проекта като хонорари на инженери и консултанти, предпроектни проучвания, придобиване на патентни права и лицензи и строителен надзор.</w:t>
            </w:r>
          </w:p>
          <w:p w14:paraId="0C192E74" w14:textId="2800F117" w:rsidR="00BA6270" w:rsidRPr="00BA6270" w:rsidRDefault="00BA6270" w:rsidP="00BA6270">
            <w:pPr>
              <w:spacing w:line="276" w:lineRule="auto"/>
              <w:ind w:firstLine="625"/>
              <w:jc w:val="both"/>
              <w:rPr>
                <w:rFonts w:ascii="Times New Roman" w:eastAsia="Calibri" w:hAnsi="Times New Roman" w:cs="Times New Roman"/>
                <w:noProof/>
                <w:sz w:val="24"/>
                <w:szCs w:val="24"/>
              </w:rPr>
            </w:pPr>
            <w:r w:rsidRPr="00BA6270">
              <w:rPr>
                <w:rFonts w:ascii="Times New Roman" w:eastAsia="Calibri" w:hAnsi="Times New Roman" w:cs="Times New Roman"/>
                <w:noProof/>
                <w:sz w:val="24"/>
                <w:szCs w:val="24"/>
              </w:rPr>
              <w:t>г) компютърен софтуер;</w:t>
            </w:r>
          </w:p>
          <w:p w14:paraId="3D17CEEA" w14:textId="19E1DD4D" w:rsidR="00BA6270" w:rsidRPr="00BA6270" w:rsidRDefault="00BA6270" w:rsidP="00BA6270">
            <w:pPr>
              <w:spacing w:line="276" w:lineRule="auto"/>
              <w:ind w:firstLine="625"/>
              <w:jc w:val="both"/>
              <w:rPr>
                <w:rFonts w:ascii="Times New Roman" w:eastAsia="Calibri" w:hAnsi="Times New Roman" w:cs="Times New Roman"/>
                <w:noProof/>
                <w:sz w:val="24"/>
                <w:szCs w:val="24"/>
              </w:rPr>
            </w:pPr>
            <w:r w:rsidRPr="00BA6270">
              <w:rPr>
                <w:rFonts w:ascii="Times New Roman" w:eastAsia="Calibri" w:hAnsi="Times New Roman" w:cs="Times New Roman"/>
                <w:noProof/>
                <w:sz w:val="24"/>
                <w:szCs w:val="24"/>
              </w:rPr>
              <w:t>д) други нематериални активи, различни от софтуер (книги, филми и др.);</w:t>
            </w:r>
          </w:p>
          <w:p w14:paraId="5569B861" w14:textId="6674C61A" w:rsidR="00BA6270" w:rsidRPr="00BA6270" w:rsidRDefault="00BA6270" w:rsidP="00BA6270">
            <w:pPr>
              <w:spacing w:line="276" w:lineRule="auto"/>
              <w:ind w:firstLine="625"/>
              <w:jc w:val="both"/>
              <w:rPr>
                <w:rFonts w:ascii="Times New Roman" w:eastAsia="Calibri" w:hAnsi="Times New Roman" w:cs="Times New Roman"/>
                <w:iCs/>
                <w:noProof/>
                <w:sz w:val="24"/>
                <w:szCs w:val="24"/>
                <w:lang w:val="ru-RU"/>
              </w:rPr>
            </w:pPr>
            <w:r w:rsidRPr="00BA6270">
              <w:rPr>
                <w:rFonts w:ascii="Times New Roman" w:eastAsia="Calibri" w:hAnsi="Times New Roman" w:cs="Times New Roman"/>
                <w:noProof/>
                <w:sz w:val="24"/>
                <w:szCs w:val="24"/>
              </w:rPr>
              <w:t xml:space="preserve">е) специализирани </w:t>
            </w:r>
            <w:r w:rsidRPr="00BA6270">
              <w:rPr>
                <w:rFonts w:ascii="Times New Roman" w:eastAsia="Calibri" w:hAnsi="Times New Roman" w:cs="Times New Roman"/>
                <w:sz w:val="24"/>
                <w:szCs w:val="24"/>
                <w:shd w:val="clear" w:color="auto" w:fill="FEFEFE"/>
              </w:rPr>
              <w:t>превозни и транспортни средства, свързани с основната дейност на проекта</w:t>
            </w:r>
            <w:r w:rsidRPr="00BA6270">
              <w:rPr>
                <w:rFonts w:ascii="Times New Roman" w:eastAsia="Calibri" w:hAnsi="Times New Roman" w:cs="Times New Roman"/>
                <w:iCs/>
                <w:noProof/>
                <w:sz w:val="24"/>
                <w:szCs w:val="24"/>
                <w:lang w:val="ru-RU"/>
              </w:rPr>
              <w:t>;</w:t>
            </w:r>
          </w:p>
          <w:p w14:paraId="53D3451E" w14:textId="4C170C7F" w:rsidR="00BA6270" w:rsidRPr="00BA6270" w:rsidRDefault="00BA6270" w:rsidP="00BA6270">
            <w:pPr>
              <w:spacing w:line="276" w:lineRule="auto"/>
              <w:ind w:firstLine="625"/>
              <w:jc w:val="both"/>
              <w:rPr>
                <w:rFonts w:ascii="Times New Roman" w:eastAsia="Calibri" w:hAnsi="Times New Roman" w:cs="Times New Roman"/>
                <w:b/>
                <w:noProof/>
                <w:sz w:val="24"/>
                <w:szCs w:val="24"/>
              </w:rPr>
            </w:pPr>
            <w:r w:rsidRPr="00BA6270">
              <w:rPr>
                <w:rFonts w:ascii="Times New Roman" w:eastAsia="Calibri" w:hAnsi="Times New Roman" w:cs="Times New Roman"/>
                <w:iCs/>
                <w:noProof/>
                <w:sz w:val="24"/>
                <w:szCs w:val="24"/>
                <w:lang w:val="ru-RU"/>
              </w:rPr>
              <w:t xml:space="preserve">ж) селскостопанска техника, когато е с свързана </w:t>
            </w:r>
            <w:r w:rsidRPr="00BA6270">
              <w:rPr>
                <w:rFonts w:ascii="Times New Roman" w:eastAsia="Calibri" w:hAnsi="Times New Roman" w:cs="Times New Roman"/>
                <w:sz w:val="24"/>
                <w:szCs w:val="24"/>
                <w:shd w:val="clear" w:color="auto" w:fill="FEFEFE"/>
              </w:rPr>
              <w:t>със социално земеделие и/или такива, свързани с колективни инвестиции</w:t>
            </w:r>
            <w:r w:rsidRPr="00BA6270">
              <w:rPr>
                <w:rFonts w:ascii="Times New Roman" w:eastAsia="Calibri" w:hAnsi="Times New Roman" w:cs="Times New Roman"/>
                <w:b/>
                <w:noProof/>
                <w:sz w:val="24"/>
                <w:szCs w:val="24"/>
              </w:rPr>
              <w:t>;</w:t>
            </w:r>
          </w:p>
          <w:p w14:paraId="6B0F6E9B" w14:textId="67105C33" w:rsidR="00BA6270" w:rsidRPr="00BA6270" w:rsidRDefault="00BA6270" w:rsidP="00BA6270">
            <w:pPr>
              <w:spacing w:line="276" w:lineRule="auto"/>
              <w:ind w:firstLine="625"/>
              <w:jc w:val="both"/>
              <w:rPr>
                <w:rFonts w:ascii="Times New Roman" w:eastAsia="Calibri" w:hAnsi="Times New Roman" w:cs="Times New Roman"/>
                <w:sz w:val="24"/>
                <w:szCs w:val="24"/>
                <w:shd w:val="clear" w:color="auto" w:fill="FEFEFE"/>
              </w:rPr>
            </w:pPr>
            <w:r w:rsidRPr="00BA6270">
              <w:rPr>
                <w:rFonts w:ascii="Times New Roman" w:eastAsia="Calibri" w:hAnsi="Times New Roman" w:cs="Times New Roman"/>
                <w:b/>
                <w:noProof/>
                <w:sz w:val="24"/>
                <w:szCs w:val="24"/>
              </w:rPr>
              <w:t xml:space="preserve">з) </w:t>
            </w:r>
            <w:r w:rsidRPr="00BA6270">
              <w:rPr>
                <w:rFonts w:ascii="Times New Roman" w:eastAsia="Calibri" w:hAnsi="Times New Roman" w:cs="Times New Roman"/>
                <w:sz w:val="24"/>
                <w:szCs w:val="24"/>
                <w:shd w:val="clear" w:color="auto" w:fill="FEFEFE"/>
              </w:rPr>
              <w:t>закупуване на земя на стойност до 10 % от общите допустими разходи за съответната операция, свързани с основната дейност на проекта</w:t>
            </w:r>
            <w:r w:rsidRPr="00BA6270">
              <w:rPr>
                <w:rFonts w:ascii="Times New Roman" w:eastAsia="Calibri" w:hAnsi="Times New Roman" w:cs="Times New Roman"/>
                <w:iCs/>
                <w:noProof/>
                <w:sz w:val="24"/>
                <w:szCs w:val="24"/>
                <w:lang w:val="ru-RU"/>
              </w:rPr>
              <w:t>;</w:t>
            </w:r>
          </w:p>
          <w:p w14:paraId="4A1320ED" w14:textId="69854D9B" w:rsidR="00BA6270" w:rsidRPr="00BA6270" w:rsidRDefault="00BA6270" w:rsidP="00BA6270">
            <w:pPr>
              <w:spacing w:line="276" w:lineRule="auto"/>
              <w:ind w:firstLine="625"/>
              <w:jc w:val="both"/>
              <w:rPr>
                <w:rFonts w:ascii="Times New Roman" w:eastAsia="Calibri" w:hAnsi="Times New Roman" w:cs="Times New Roman"/>
                <w:sz w:val="24"/>
                <w:szCs w:val="24"/>
                <w:shd w:val="clear" w:color="auto" w:fill="FEFEFE"/>
              </w:rPr>
            </w:pPr>
            <w:r w:rsidRPr="00BA6270">
              <w:rPr>
                <w:rFonts w:ascii="Times New Roman" w:eastAsia="Calibri" w:hAnsi="Times New Roman" w:cs="Times New Roman"/>
                <w:sz w:val="24"/>
                <w:szCs w:val="24"/>
                <w:shd w:val="clear" w:color="auto" w:fill="FEFEFE"/>
              </w:rPr>
              <w:t>и) закупуване на сгради на стойност до 10 % от общите допустими разходи за съответната операция, свързани с основната дейност на проекта;</w:t>
            </w:r>
          </w:p>
          <w:p w14:paraId="39FF2546" w14:textId="01D9790B" w:rsidR="00BA6270" w:rsidRPr="00BA6270" w:rsidRDefault="00BA6270" w:rsidP="00BA6270">
            <w:pPr>
              <w:spacing w:line="276" w:lineRule="auto"/>
              <w:ind w:firstLine="625"/>
              <w:jc w:val="both"/>
              <w:rPr>
                <w:rFonts w:ascii="Times New Roman" w:eastAsia="Calibri" w:hAnsi="Times New Roman" w:cs="Times New Roman"/>
                <w:sz w:val="24"/>
                <w:szCs w:val="24"/>
                <w:shd w:val="clear" w:color="auto" w:fill="FEFEFE"/>
              </w:rPr>
            </w:pPr>
            <w:r w:rsidRPr="00BA6270">
              <w:rPr>
                <w:rFonts w:ascii="Times New Roman" w:eastAsia="Calibri" w:hAnsi="Times New Roman" w:cs="Times New Roman"/>
                <w:sz w:val="24"/>
                <w:szCs w:val="24"/>
                <w:shd w:val="clear" w:color="auto" w:fill="FEFEFE"/>
              </w:rPr>
              <w:t xml:space="preserve">й) </w:t>
            </w:r>
            <w:r w:rsidRPr="00BA6270">
              <w:rPr>
                <w:rFonts w:ascii="Times New Roman" w:eastAsia="Calibri" w:hAnsi="Times New Roman" w:cs="Times New Roman"/>
                <w:bCs/>
                <w:sz w:val="24"/>
                <w:szCs w:val="24"/>
                <w:shd w:val="clear" w:color="auto" w:fill="FEFEFE"/>
              </w:rPr>
              <w:t>други разходи, които не противоречат на условията на Регламент (ЕС) 2021/2115.</w:t>
            </w:r>
          </w:p>
          <w:p w14:paraId="7B0F4938" w14:textId="1566A9B4" w:rsidR="00521095" w:rsidRPr="00FB202F" w:rsidRDefault="002E4D14"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14.1.</w:t>
            </w:r>
            <w:proofErr w:type="spellStart"/>
            <w:r w:rsidR="00C908B3">
              <w:rPr>
                <w:rFonts w:ascii="Times New Roman" w:hAnsi="Times New Roman" w:cs="Times New Roman"/>
                <w:sz w:val="24"/>
                <w:szCs w:val="24"/>
                <w:shd w:val="clear" w:color="auto" w:fill="FEFEFE"/>
              </w:rPr>
              <w:t>1</w:t>
            </w:r>
            <w:proofErr w:type="spellEnd"/>
            <w:r w:rsidR="00C908B3">
              <w:rPr>
                <w:rFonts w:ascii="Times New Roman" w:hAnsi="Times New Roman" w:cs="Times New Roman"/>
                <w:sz w:val="24"/>
                <w:szCs w:val="24"/>
                <w:shd w:val="clear" w:color="auto" w:fill="FEFEFE"/>
              </w:rPr>
              <w:t>.</w:t>
            </w:r>
            <w:r w:rsidR="00521095" w:rsidRPr="00FB202F">
              <w:rPr>
                <w:rFonts w:ascii="Times New Roman" w:hAnsi="Times New Roman" w:cs="Times New Roman"/>
                <w:sz w:val="24"/>
                <w:szCs w:val="24"/>
                <w:shd w:val="clear" w:color="auto" w:fill="FEFEFE"/>
              </w:rPr>
              <w:t>2. други допустими разходи</w:t>
            </w:r>
            <w:r w:rsidR="00A26AC1">
              <w:rPr>
                <w:rFonts w:ascii="Times New Roman" w:hAnsi="Times New Roman" w:cs="Times New Roman"/>
                <w:sz w:val="24"/>
                <w:szCs w:val="24"/>
                <w:shd w:val="clear" w:color="auto" w:fill="FEFEFE"/>
              </w:rPr>
              <w:t xml:space="preserve"> съгласно </w:t>
            </w:r>
            <w:r w:rsidR="00521095" w:rsidRPr="00FB202F">
              <w:rPr>
                <w:rFonts w:ascii="Times New Roman" w:hAnsi="Times New Roman" w:cs="Times New Roman"/>
                <w:sz w:val="24"/>
                <w:szCs w:val="24"/>
                <w:shd w:val="clear" w:color="auto" w:fill="FEFEFE"/>
              </w:rPr>
              <w:t xml:space="preserve">Регламент (EC) № 2021/1060 и </w:t>
            </w:r>
            <w:r w:rsidR="00C55AC7">
              <w:rPr>
                <w:rFonts w:ascii="Times New Roman" w:hAnsi="Times New Roman" w:cs="Times New Roman"/>
                <w:sz w:val="24"/>
                <w:szCs w:val="24"/>
                <w:shd w:val="clear" w:color="auto" w:fill="FEFEFE"/>
              </w:rPr>
              <w:t xml:space="preserve">целите и </w:t>
            </w:r>
            <w:r w:rsidR="00521095" w:rsidRPr="00FB202F">
              <w:rPr>
                <w:rFonts w:ascii="Times New Roman" w:hAnsi="Times New Roman" w:cs="Times New Roman"/>
                <w:sz w:val="24"/>
                <w:szCs w:val="24"/>
                <w:shd w:val="clear" w:color="auto" w:fill="FEFEFE"/>
              </w:rPr>
              <w:t xml:space="preserve">приоритетите на стратегията за ВОМР; </w:t>
            </w:r>
          </w:p>
          <w:p w14:paraId="26050D3A" w14:textId="67236ED0" w:rsidR="00521095" w:rsidRPr="00FB202F" w:rsidRDefault="002E4D14"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14.1.</w:t>
            </w:r>
            <w:proofErr w:type="spellStart"/>
            <w:r w:rsidR="00C908B3">
              <w:rPr>
                <w:rFonts w:ascii="Times New Roman" w:hAnsi="Times New Roman" w:cs="Times New Roman"/>
                <w:sz w:val="24"/>
                <w:szCs w:val="24"/>
                <w:shd w:val="clear" w:color="auto" w:fill="FEFEFE"/>
              </w:rPr>
              <w:t>1</w:t>
            </w:r>
            <w:proofErr w:type="spellEnd"/>
            <w:r w:rsidR="00C908B3">
              <w:rPr>
                <w:rFonts w:ascii="Times New Roman" w:hAnsi="Times New Roman" w:cs="Times New Roman"/>
                <w:sz w:val="24"/>
                <w:szCs w:val="24"/>
                <w:shd w:val="clear" w:color="auto" w:fill="FEFEFE"/>
              </w:rPr>
              <w:t>.</w:t>
            </w:r>
            <w:r w:rsidR="00521095" w:rsidRPr="00FB202F">
              <w:rPr>
                <w:rFonts w:ascii="Times New Roman" w:hAnsi="Times New Roman" w:cs="Times New Roman"/>
                <w:sz w:val="24"/>
                <w:szCs w:val="24"/>
                <w:shd w:val="clear" w:color="auto" w:fill="FEFEFE"/>
              </w:rPr>
              <w:t xml:space="preserve">3. </w:t>
            </w:r>
            <w:r w:rsidR="0091022F" w:rsidRPr="0091022F">
              <w:rPr>
                <w:rFonts w:ascii="Times New Roman" w:hAnsi="Times New Roman" w:cs="Times New Roman"/>
                <w:sz w:val="24"/>
                <w:szCs w:val="24"/>
                <w:shd w:val="clear" w:color="auto" w:fill="FEFEFE"/>
              </w:rPr>
              <w:t xml:space="preserve">определени в Постановление № 86 от 2023 г. на Министерския съвет за </w:t>
            </w:r>
            <w:r w:rsidR="0091022F" w:rsidRPr="0091022F">
              <w:rPr>
                <w:rFonts w:ascii="Times New Roman" w:hAnsi="Times New Roman" w:cs="Times New Roman"/>
                <w:sz w:val="24"/>
                <w:szCs w:val="24"/>
                <w:shd w:val="clear" w:color="auto" w:fill="FEFEFE"/>
              </w:rPr>
              <w:lastRenderedPageBreak/>
              <w:t>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w:t>
            </w:r>
            <w:r w:rsidR="00496F04">
              <w:rPr>
                <w:rFonts w:ascii="Times New Roman" w:hAnsi="Times New Roman" w:cs="Times New Roman"/>
                <w:sz w:val="24"/>
                <w:szCs w:val="24"/>
                <w:shd w:val="clear" w:color="auto" w:fill="FEFEFE"/>
              </w:rPr>
              <w:t>-</w:t>
            </w:r>
            <w:r w:rsidR="0091022F" w:rsidRPr="0091022F">
              <w:rPr>
                <w:rFonts w:ascii="Times New Roman" w:hAnsi="Times New Roman" w:cs="Times New Roman"/>
                <w:sz w:val="24"/>
                <w:szCs w:val="24"/>
                <w:shd w:val="clear" w:color="auto" w:fill="FEFEFE"/>
              </w:rPr>
              <w:t>2027 г. (</w:t>
            </w:r>
            <w:proofErr w:type="spellStart"/>
            <w:r w:rsidR="0091022F" w:rsidRPr="0091022F">
              <w:rPr>
                <w:rFonts w:ascii="Times New Roman" w:hAnsi="Times New Roman" w:cs="Times New Roman"/>
                <w:sz w:val="24"/>
                <w:szCs w:val="24"/>
                <w:shd w:val="clear" w:color="auto" w:fill="FEFEFE"/>
              </w:rPr>
              <w:t>Oбн</w:t>
            </w:r>
            <w:proofErr w:type="spellEnd"/>
            <w:r w:rsidR="0091022F" w:rsidRPr="0091022F">
              <w:rPr>
                <w:rFonts w:ascii="Times New Roman" w:hAnsi="Times New Roman" w:cs="Times New Roman"/>
                <w:sz w:val="24"/>
                <w:szCs w:val="24"/>
                <w:shd w:val="clear" w:color="auto" w:fill="FEFEFE"/>
              </w:rPr>
              <w:t xml:space="preserve">., ДВ, </w:t>
            </w:r>
            <w:hyperlink r:id="rId9" w:history="1">
              <w:r w:rsidR="0091022F" w:rsidRPr="0091022F">
                <w:rPr>
                  <w:rStyle w:val="Hyperlink"/>
                  <w:rFonts w:ascii="Times New Roman" w:hAnsi="Times New Roman"/>
                  <w:sz w:val="24"/>
                  <w:szCs w:val="24"/>
                  <w:shd w:val="clear" w:color="auto" w:fill="FEFEFE"/>
                </w:rPr>
                <w:t>бр. 49</w:t>
              </w:r>
            </w:hyperlink>
            <w:r w:rsidR="0091022F" w:rsidRPr="0091022F">
              <w:rPr>
                <w:rFonts w:ascii="Times New Roman" w:hAnsi="Times New Roman" w:cs="Times New Roman"/>
                <w:sz w:val="24"/>
                <w:szCs w:val="24"/>
                <w:shd w:val="clear" w:color="auto" w:fill="FEFEFE"/>
              </w:rPr>
              <w:t xml:space="preserve"> от 2023 г.)  (ПМС № 86) и в указанията съгласно чл. 10 от ПМС № 494 от 2024 г.</w:t>
            </w:r>
          </w:p>
          <w:p w14:paraId="05A8C919" w14:textId="63F59C5A" w:rsidR="000C4BF9" w:rsidRPr="00FB202F" w:rsidRDefault="002E4D14"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 xml:space="preserve">2. </w:t>
            </w:r>
            <w:r w:rsidR="008824C9">
              <w:rPr>
                <w:rFonts w:ascii="Times New Roman" w:hAnsi="Times New Roman" w:cs="Times New Roman"/>
                <w:sz w:val="24"/>
                <w:szCs w:val="24"/>
                <w:shd w:val="clear" w:color="auto" w:fill="FEFEFE"/>
              </w:rPr>
              <w:t>З</w:t>
            </w:r>
            <w:r w:rsidRPr="00FB202F">
              <w:rPr>
                <w:rFonts w:ascii="Times New Roman" w:hAnsi="Times New Roman" w:cs="Times New Roman"/>
                <w:sz w:val="24"/>
                <w:szCs w:val="24"/>
                <w:shd w:val="clear" w:color="auto" w:fill="FEFEFE"/>
              </w:rPr>
              <w:t>а управление, мониторинг и оценка на стратегиите и тяхното популяризиране</w:t>
            </w:r>
            <w:r w:rsidR="008824C9">
              <w:rPr>
                <w:rFonts w:ascii="Times New Roman" w:hAnsi="Times New Roman" w:cs="Times New Roman"/>
                <w:sz w:val="24"/>
                <w:szCs w:val="24"/>
                <w:shd w:val="clear" w:color="auto" w:fill="FEFEFE"/>
              </w:rPr>
              <w:t xml:space="preserve"> са допустими следните разходи</w:t>
            </w:r>
            <w:r w:rsidR="00A911B8" w:rsidRPr="00FB202F">
              <w:rPr>
                <w:rFonts w:ascii="Times New Roman" w:hAnsi="Times New Roman" w:cs="Times New Roman"/>
                <w:sz w:val="24"/>
                <w:szCs w:val="24"/>
                <w:shd w:val="clear" w:color="auto" w:fill="FEFEFE"/>
              </w:rPr>
              <w:t>:</w:t>
            </w:r>
          </w:p>
          <w:p w14:paraId="37377EAD" w14:textId="607C18B6" w:rsidR="000C4BF9" w:rsidRPr="00FB202F" w:rsidRDefault="002E4D14"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2.1</w:t>
            </w:r>
            <w:r w:rsidR="000C4BF9" w:rsidRPr="00FB202F">
              <w:rPr>
                <w:rFonts w:ascii="Times New Roman" w:hAnsi="Times New Roman" w:cs="Times New Roman"/>
                <w:sz w:val="24"/>
                <w:szCs w:val="24"/>
                <w:shd w:val="clear" w:color="auto" w:fill="FEFEFE"/>
              </w:rPr>
              <w:t>. Разходи за  управление, мониторинг и оценка на стратегиите:</w:t>
            </w:r>
          </w:p>
          <w:p w14:paraId="67038E55" w14:textId="13CCED2A" w:rsidR="000C4BF9" w:rsidRPr="00FB202F" w:rsidRDefault="002E4D14"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2.1.</w:t>
            </w:r>
            <w:proofErr w:type="spellStart"/>
            <w:r w:rsidR="000C4BF9" w:rsidRPr="00FB202F">
              <w:rPr>
                <w:rFonts w:ascii="Times New Roman" w:hAnsi="Times New Roman" w:cs="Times New Roman"/>
                <w:sz w:val="24"/>
                <w:szCs w:val="24"/>
                <w:shd w:val="clear" w:color="auto" w:fill="FEFEFE"/>
              </w:rPr>
              <w:t>1</w:t>
            </w:r>
            <w:proofErr w:type="spellEnd"/>
            <w:r w:rsidR="000C4BF9" w:rsidRPr="00FB202F">
              <w:rPr>
                <w:rFonts w:ascii="Times New Roman" w:hAnsi="Times New Roman" w:cs="Times New Roman"/>
                <w:sz w:val="24"/>
                <w:szCs w:val="24"/>
                <w:shd w:val="clear" w:color="auto" w:fill="FEFEFE"/>
              </w:rPr>
              <w:t>. разходи за заплати, както и задължителни по силата на нормативен акт разходи за социални и здравни осигуровки за персонала, обезщетения за временна неработоспособност и други, дължими от работодателя</w:t>
            </w:r>
            <w:r w:rsidR="00E52137">
              <w:rPr>
                <w:rFonts w:ascii="Times New Roman" w:hAnsi="Times New Roman" w:cs="Times New Roman"/>
                <w:sz w:val="24"/>
                <w:szCs w:val="24"/>
                <w:shd w:val="clear" w:color="auto" w:fill="FEFEFE"/>
              </w:rPr>
              <w:t xml:space="preserve"> по силата на нормативен акт</w:t>
            </w:r>
            <w:r w:rsidR="000C4BF9" w:rsidRPr="00FB202F">
              <w:rPr>
                <w:rFonts w:ascii="Times New Roman" w:hAnsi="Times New Roman" w:cs="Times New Roman"/>
                <w:sz w:val="24"/>
                <w:szCs w:val="24"/>
                <w:shd w:val="clear" w:color="auto" w:fill="FEFEFE"/>
              </w:rPr>
              <w:t>;</w:t>
            </w:r>
          </w:p>
          <w:p w14:paraId="0E784AC4" w14:textId="670CD1CA" w:rsidR="000C4BF9" w:rsidRPr="00FB202F" w:rsidRDefault="002E4D14"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2.1.</w:t>
            </w:r>
            <w:r w:rsidR="000C4BF9" w:rsidRPr="00FB202F">
              <w:rPr>
                <w:rFonts w:ascii="Times New Roman" w:hAnsi="Times New Roman" w:cs="Times New Roman"/>
                <w:sz w:val="24"/>
                <w:szCs w:val="24"/>
                <w:shd w:val="clear" w:color="auto" w:fill="FEFEFE"/>
              </w:rPr>
              <w:t>2. разходи за външни услуги, възнаграждения и осигуровки, дължими от МИГ на експерти (физически или юридически лица), свързани с прилагането на стратегията (оценители, консултанти, външни експерти</w:t>
            </w:r>
            <w:r w:rsidR="008A3AAE">
              <w:rPr>
                <w:rFonts w:ascii="Times New Roman" w:hAnsi="Times New Roman" w:cs="Times New Roman"/>
                <w:sz w:val="24"/>
                <w:szCs w:val="24"/>
                <w:shd w:val="clear" w:color="auto" w:fill="FEFEFE"/>
              </w:rPr>
              <w:t>,</w:t>
            </w:r>
            <w:r w:rsidR="008A3AAE" w:rsidRPr="00FB202F">
              <w:rPr>
                <w:rFonts w:ascii="Times New Roman" w:hAnsi="Times New Roman" w:cs="Times New Roman"/>
                <w:sz w:val="24"/>
                <w:szCs w:val="24"/>
                <w:shd w:val="clear" w:color="auto" w:fill="FEFEFE"/>
              </w:rPr>
              <w:t xml:space="preserve"> счетоводн</w:t>
            </w:r>
            <w:r w:rsidR="00153D2A">
              <w:rPr>
                <w:rFonts w:ascii="Times New Roman" w:hAnsi="Times New Roman" w:cs="Times New Roman"/>
                <w:sz w:val="24"/>
                <w:szCs w:val="24"/>
                <w:shd w:val="clear" w:color="auto" w:fill="FEFEFE"/>
              </w:rPr>
              <w:t>о обслужване</w:t>
            </w:r>
            <w:r w:rsidR="000C4BF9" w:rsidRPr="00FB202F">
              <w:rPr>
                <w:rFonts w:ascii="Times New Roman" w:hAnsi="Times New Roman" w:cs="Times New Roman"/>
                <w:sz w:val="24"/>
                <w:szCs w:val="24"/>
                <w:shd w:val="clear" w:color="auto" w:fill="FEFEFE"/>
              </w:rPr>
              <w:t>);</w:t>
            </w:r>
          </w:p>
          <w:p w14:paraId="37D90CA8" w14:textId="6DBC0C4B" w:rsidR="000C4BF9" w:rsidRPr="00FB202F" w:rsidRDefault="002E4D14"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2.1.</w:t>
            </w:r>
            <w:r w:rsidR="000C4BF9" w:rsidRPr="00FB202F">
              <w:rPr>
                <w:rFonts w:ascii="Times New Roman" w:hAnsi="Times New Roman" w:cs="Times New Roman"/>
                <w:sz w:val="24"/>
                <w:szCs w:val="24"/>
                <w:shd w:val="clear" w:color="auto" w:fill="FEFEFE"/>
              </w:rPr>
              <w:t>3. непреки разходи:</w:t>
            </w:r>
          </w:p>
          <w:p w14:paraId="1CC75F80" w14:textId="06817147"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а) за услуги, непряко свързани с прилагането на стратегията (правни, </w:t>
            </w:r>
            <w:proofErr w:type="spellStart"/>
            <w:r w:rsidRPr="00FB202F">
              <w:rPr>
                <w:rFonts w:ascii="Times New Roman" w:hAnsi="Times New Roman" w:cs="Times New Roman"/>
                <w:sz w:val="24"/>
                <w:szCs w:val="24"/>
                <w:shd w:val="clear" w:color="auto" w:fill="FEFEFE"/>
              </w:rPr>
              <w:t>одиторски</w:t>
            </w:r>
            <w:proofErr w:type="spellEnd"/>
            <w:r w:rsidRPr="00FB202F">
              <w:rPr>
                <w:rFonts w:ascii="Times New Roman" w:hAnsi="Times New Roman" w:cs="Times New Roman"/>
                <w:sz w:val="24"/>
                <w:szCs w:val="24"/>
                <w:shd w:val="clear" w:color="auto" w:fill="FEFEFE"/>
              </w:rPr>
              <w:t>);</w:t>
            </w:r>
          </w:p>
          <w:p w14:paraId="27A77C81" w14:textId="77777777"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б) разходи за наем на офис;</w:t>
            </w:r>
          </w:p>
          <w:p w14:paraId="5F6033E2" w14:textId="6C249424"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в) разходи за комуникация и външни услуги (телефон, интернет, пощенски услуги, куриерски услуги, топло- и електроенергия, вода, охрана на офиса, електронен подпис</w:t>
            </w:r>
            <w:r w:rsidR="00D83751">
              <w:rPr>
                <w:rFonts w:ascii="Times New Roman" w:hAnsi="Times New Roman" w:cs="Times New Roman"/>
                <w:sz w:val="24"/>
                <w:szCs w:val="24"/>
                <w:shd w:val="clear" w:color="auto" w:fill="FEFEFE"/>
              </w:rPr>
              <w:t xml:space="preserve">, </w:t>
            </w:r>
            <w:r w:rsidR="00D83751" w:rsidRPr="00D83751">
              <w:rPr>
                <w:rFonts w:ascii="Times New Roman" w:hAnsi="Times New Roman" w:cs="Times New Roman"/>
                <w:sz w:val="24"/>
                <w:szCs w:val="24"/>
                <w:shd w:val="clear" w:color="auto" w:fill="FEFEFE"/>
              </w:rPr>
              <w:t xml:space="preserve">застраховане на </w:t>
            </w:r>
            <w:r w:rsidR="00C12175">
              <w:rPr>
                <w:rFonts w:ascii="Times New Roman" w:hAnsi="Times New Roman" w:cs="Times New Roman"/>
                <w:sz w:val="24"/>
                <w:szCs w:val="24"/>
                <w:shd w:val="clear" w:color="auto" w:fill="FEFEFE"/>
              </w:rPr>
              <w:t xml:space="preserve">дълготрайни </w:t>
            </w:r>
            <w:r w:rsidR="00D51042">
              <w:rPr>
                <w:rFonts w:ascii="Times New Roman" w:hAnsi="Times New Roman" w:cs="Times New Roman"/>
                <w:sz w:val="24"/>
                <w:szCs w:val="24"/>
                <w:shd w:val="clear" w:color="auto" w:fill="FEFEFE"/>
              </w:rPr>
              <w:t xml:space="preserve">материални </w:t>
            </w:r>
            <w:r w:rsidR="00D83751" w:rsidRPr="00D83751">
              <w:rPr>
                <w:rFonts w:ascii="Times New Roman" w:hAnsi="Times New Roman" w:cs="Times New Roman"/>
                <w:sz w:val="24"/>
                <w:szCs w:val="24"/>
                <w:shd w:val="clear" w:color="auto" w:fill="FEFEFE"/>
              </w:rPr>
              <w:t>активи</w:t>
            </w:r>
            <w:r w:rsidR="007E759F">
              <w:rPr>
                <w:rFonts w:ascii="Times New Roman" w:hAnsi="Times New Roman" w:cs="Times New Roman"/>
                <w:sz w:val="24"/>
                <w:szCs w:val="24"/>
                <w:shd w:val="clear" w:color="auto" w:fill="FEFEFE"/>
              </w:rPr>
              <w:t xml:space="preserve"> по смисъла на чл. 50, т. 2 от Закона за корпоративното подоходно облагане</w:t>
            </w:r>
            <w:r w:rsidR="00D83751" w:rsidRPr="00D83751">
              <w:rPr>
                <w:rFonts w:ascii="Times New Roman" w:hAnsi="Times New Roman" w:cs="Times New Roman"/>
                <w:sz w:val="24"/>
                <w:szCs w:val="24"/>
                <w:shd w:val="clear" w:color="auto" w:fill="FEFEFE"/>
              </w:rPr>
              <w:t xml:space="preserve">, закупени със средства от настоящия или </w:t>
            </w:r>
            <w:r w:rsidR="00582A9E">
              <w:rPr>
                <w:rFonts w:ascii="Times New Roman" w:hAnsi="Times New Roman" w:cs="Times New Roman"/>
                <w:sz w:val="24"/>
                <w:szCs w:val="24"/>
                <w:shd w:val="clear" w:color="auto" w:fill="FEFEFE"/>
              </w:rPr>
              <w:t>предходния</w:t>
            </w:r>
            <w:r w:rsidR="00582A9E" w:rsidRPr="00D83751">
              <w:rPr>
                <w:rFonts w:ascii="Times New Roman" w:hAnsi="Times New Roman" w:cs="Times New Roman"/>
                <w:sz w:val="24"/>
                <w:szCs w:val="24"/>
                <w:shd w:val="clear" w:color="auto" w:fill="FEFEFE"/>
              </w:rPr>
              <w:t xml:space="preserve"> </w:t>
            </w:r>
            <w:r w:rsidR="00D83751" w:rsidRPr="00D83751">
              <w:rPr>
                <w:rFonts w:ascii="Times New Roman" w:hAnsi="Times New Roman" w:cs="Times New Roman"/>
                <w:sz w:val="24"/>
                <w:szCs w:val="24"/>
                <w:shd w:val="clear" w:color="auto" w:fill="FEFEFE"/>
              </w:rPr>
              <w:t>програмен период по подхода ВОМР</w:t>
            </w:r>
            <w:r w:rsidRPr="00FB202F">
              <w:rPr>
                <w:rFonts w:ascii="Times New Roman" w:hAnsi="Times New Roman" w:cs="Times New Roman"/>
                <w:sz w:val="24"/>
                <w:szCs w:val="24"/>
                <w:shd w:val="clear" w:color="auto" w:fill="FEFEFE"/>
              </w:rPr>
              <w:t>);</w:t>
            </w:r>
          </w:p>
          <w:p w14:paraId="08B348D6" w14:textId="77777777"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г) разходи за закупуване на офис консумативи и канцеларски материали;</w:t>
            </w:r>
          </w:p>
          <w:p w14:paraId="60FDE426" w14:textId="77777777"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 разходи за наем на лек автомобил с под 150 к.с. и с над 5+1 места за МИГ, които нямат закупен лек автомобил;</w:t>
            </w:r>
          </w:p>
          <w:p w14:paraId="07267EAB" w14:textId="77777777"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е) разходи за закупуване на гориво за лек автомобил;</w:t>
            </w:r>
          </w:p>
          <w:p w14:paraId="6AD61912" w14:textId="340EFAD2"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ж) други непредвидени оперативни разходи.</w:t>
            </w:r>
          </w:p>
          <w:p w14:paraId="328CB529" w14:textId="06C65256" w:rsidR="000C4BF9" w:rsidRPr="00FB202F" w:rsidRDefault="002E4D14" w:rsidP="00805E12">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2.1.</w:t>
            </w:r>
            <w:r w:rsidR="000C4BF9" w:rsidRPr="00FB202F">
              <w:rPr>
                <w:rFonts w:ascii="Times New Roman" w:hAnsi="Times New Roman" w:cs="Times New Roman"/>
                <w:sz w:val="24"/>
                <w:szCs w:val="24"/>
                <w:shd w:val="clear" w:color="auto" w:fill="FEFEFE"/>
              </w:rPr>
              <w:t>4. разходи за командировки на екипа и членовете на колективния върховен орган на МИГ</w:t>
            </w:r>
            <w:r w:rsidR="00E52137">
              <w:rPr>
                <w:rFonts w:ascii="Times New Roman" w:hAnsi="Times New Roman" w:cs="Times New Roman"/>
                <w:sz w:val="24"/>
                <w:szCs w:val="24"/>
                <w:shd w:val="clear" w:color="auto" w:fill="FEFEFE"/>
              </w:rPr>
              <w:t xml:space="preserve"> съгласно</w:t>
            </w:r>
            <w:r w:rsidR="00E52137" w:rsidRPr="00E52137">
              <w:rPr>
                <w:rFonts w:ascii="Times New Roman" w:hAnsi="Times New Roman" w:cs="Times New Roman"/>
                <w:sz w:val="24"/>
                <w:szCs w:val="24"/>
                <w:shd w:val="clear" w:color="auto" w:fill="FEFEFE"/>
              </w:rPr>
              <w:t xml:space="preserve"> Наредбата за командировките в страната, приета с Постановление № 72 на Министерския съвет от 1986 г. (</w:t>
            </w:r>
            <w:proofErr w:type="spellStart"/>
            <w:r w:rsidR="00496F04" w:rsidRPr="00496F04">
              <w:rPr>
                <w:rFonts w:ascii="Times New Roman" w:hAnsi="Times New Roman" w:cs="Times New Roman"/>
                <w:sz w:val="24"/>
                <w:szCs w:val="24"/>
                <w:shd w:val="clear" w:color="auto" w:fill="FEFEFE"/>
              </w:rPr>
              <w:t>Обн</w:t>
            </w:r>
            <w:proofErr w:type="spellEnd"/>
            <w:r w:rsidR="00496F04" w:rsidRPr="00496F04">
              <w:rPr>
                <w:rFonts w:ascii="Times New Roman" w:hAnsi="Times New Roman" w:cs="Times New Roman"/>
                <w:sz w:val="24"/>
                <w:szCs w:val="24"/>
                <w:shd w:val="clear" w:color="auto" w:fill="FEFEFE"/>
              </w:rPr>
              <w:t>.,</w:t>
            </w:r>
            <w:r w:rsidR="00496F04">
              <w:rPr>
                <w:rFonts w:ascii="Times New Roman" w:hAnsi="Times New Roman" w:cs="Times New Roman"/>
                <w:sz w:val="24"/>
                <w:szCs w:val="24"/>
                <w:shd w:val="clear" w:color="auto" w:fill="FEFEFE"/>
              </w:rPr>
              <w:t xml:space="preserve"> </w:t>
            </w:r>
            <w:r w:rsidR="00E52137" w:rsidRPr="00E52137">
              <w:rPr>
                <w:rFonts w:ascii="Times New Roman" w:hAnsi="Times New Roman" w:cs="Times New Roman"/>
                <w:sz w:val="24"/>
                <w:szCs w:val="24"/>
                <w:shd w:val="clear" w:color="auto" w:fill="FEFEFE"/>
              </w:rPr>
              <w:t>ДВ, бр. 11 от 1987 г.) и Наредбата за служебните командировки и специализации в чужбина, приета с Постановление № 115 на Министерския съвет от 2004 г. (</w:t>
            </w:r>
            <w:proofErr w:type="spellStart"/>
            <w:r w:rsidR="00496F04" w:rsidRPr="00496F04">
              <w:rPr>
                <w:rFonts w:ascii="Times New Roman" w:hAnsi="Times New Roman" w:cs="Times New Roman"/>
                <w:sz w:val="24"/>
                <w:szCs w:val="24"/>
                <w:shd w:val="clear" w:color="auto" w:fill="FEFEFE"/>
              </w:rPr>
              <w:t>Обн</w:t>
            </w:r>
            <w:proofErr w:type="spellEnd"/>
            <w:r w:rsidR="00496F04" w:rsidRPr="00496F04">
              <w:rPr>
                <w:rFonts w:ascii="Times New Roman" w:hAnsi="Times New Roman" w:cs="Times New Roman"/>
                <w:sz w:val="24"/>
                <w:szCs w:val="24"/>
                <w:shd w:val="clear" w:color="auto" w:fill="FEFEFE"/>
              </w:rPr>
              <w:t>.,</w:t>
            </w:r>
            <w:r w:rsidR="00496F04">
              <w:rPr>
                <w:rFonts w:ascii="Times New Roman" w:hAnsi="Times New Roman" w:cs="Times New Roman"/>
                <w:sz w:val="24"/>
                <w:szCs w:val="24"/>
                <w:shd w:val="clear" w:color="auto" w:fill="FEFEFE"/>
              </w:rPr>
              <w:t xml:space="preserve"> </w:t>
            </w:r>
            <w:r w:rsidR="00E52137" w:rsidRPr="00E52137">
              <w:rPr>
                <w:rFonts w:ascii="Times New Roman" w:hAnsi="Times New Roman" w:cs="Times New Roman"/>
                <w:sz w:val="24"/>
                <w:szCs w:val="24"/>
                <w:shd w:val="clear" w:color="auto" w:fill="FEFEFE"/>
              </w:rPr>
              <w:t>ДВ, бр. 50 от 2004 г.)</w:t>
            </w:r>
            <w:r w:rsidR="000C4BF9" w:rsidRPr="00FB202F">
              <w:rPr>
                <w:rFonts w:ascii="Times New Roman" w:hAnsi="Times New Roman" w:cs="Times New Roman"/>
                <w:sz w:val="24"/>
                <w:szCs w:val="24"/>
                <w:shd w:val="clear" w:color="auto" w:fill="FEFEFE"/>
              </w:rPr>
              <w:t>;</w:t>
            </w:r>
          </w:p>
          <w:p w14:paraId="5B0EB5D7" w14:textId="7A624637" w:rsidR="000C4BF9" w:rsidRPr="00FB202F" w:rsidRDefault="009B49CD">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2.1.</w:t>
            </w:r>
            <w:r w:rsidR="000C4BF9" w:rsidRPr="00FB202F">
              <w:rPr>
                <w:rFonts w:ascii="Times New Roman" w:hAnsi="Times New Roman" w:cs="Times New Roman"/>
                <w:sz w:val="24"/>
                <w:szCs w:val="24"/>
                <w:shd w:val="clear" w:color="auto" w:fill="FEFEFE"/>
              </w:rPr>
              <w:t>5. разходи за закупуване на офис оборудване</w:t>
            </w:r>
            <w:r w:rsidR="00E3372F">
              <w:rPr>
                <w:rFonts w:ascii="Times New Roman" w:hAnsi="Times New Roman" w:cs="Times New Roman"/>
                <w:sz w:val="24"/>
                <w:szCs w:val="24"/>
                <w:shd w:val="clear" w:color="auto" w:fill="FEFEFE"/>
              </w:rPr>
              <w:t>,</w:t>
            </w:r>
            <w:r w:rsidR="000C4BF9" w:rsidRPr="00FB202F">
              <w:rPr>
                <w:rFonts w:ascii="Times New Roman" w:hAnsi="Times New Roman" w:cs="Times New Roman"/>
                <w:sz w:val="24"/>
                <w:szCs w:val="24"/>
                <w:shd w:val="clear" w:color="auto" w:fill="FEFEFE"/>
              </w:rPr>
              <w:t xml:space="preserve"> обзавеждане</w:t>
            </w:r>
            <w:r w:rsidR="00E3372F">
              <w:rPr>
                <w:rFonts w:ascii="Times New Roman" w:hAnsi="Times New Roman" w:cs="Times New Roman"/>
                <w:sz w:val="24"/>
                <w:szCs w:val="24"/>
                <w:shd w:val="clear" w:color="auto" w:fill="FEFEFE"/>
              </w:rPr>
              <w:t xml:space="preserve"> и софтуер</w:t>
            </w:r>
            <w:r w:rsidR="000C4BF9" w:rsidRPr="00FB202F">
              <w:rPr>
                <w:rFonts w:ascii="Times New Roman" w:hAnsi="Times New Roman" w:cs="Times New Roman"/>
                <w:sz w:val="24"/>
                <w:szCs w:val="24"/>
                <w:shd w:val="clear" w:color="auto" w:fill="FEFEFE"/>
              </w:rPr>
              <w:t xml:space="preserve">; </w:t>
            </w:r>
          </w:p>
          <w:p w14:paraId="5E62F20A" w14:textId="3DB91EBC" w:rsidR="000C4BF9" w:rsidRPr="00FB202F" w:rsidRDefault="00BA556D">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2.1.</w:t>
            </w:r>
            <w:r w:rsidR="000C4BF9" w:rsidRPr="00FB202F">
              <w:rPr>
                <w:rFonts w:ascii="Times New Roman" w:hAnsi="Times New Roman" w:cs="Times New Roman"/>
                <w:sz w:val="24"/>
                <w:szCs w:val="24"/>
                <w:shd w:val="clear" w:color="auto" w:fill="FEFEFE"/>
              </w:rPr>
              <w:t xml:space="preserve">6. разходи за закупуване на един лек автомобил с </w:t>
            </w:r>
            <w:r w:rsidR="00850DEA" w:rsidRPr="00850DEA">
              <w:rPr>
                <w:rFonts w:ascii="Times New Roman" w:hAnsi="Times New Roman" w:cs="Times New Roman"/>
                <w:sz w:val="24"/>
                <w:szCs w:val="24"/>
                <w:shd w:val="clear" w:color="auto" w:fill="FEFEFE"/>
              </w:rPr>
              <w:t xml:space="preserve">под 150 к.с. </w:t>
            </w:r>
            <w:r w:rsidR="00850DEA">
              <w:rPr>
                <w:rFonts w:ascii="Times New Roman" w:hAnsi="Times New Roman" w:cs="Times New Roman"/>
                <w:sz w:val="24"/>
                <w:szCs w:val="24"/>
                <w:shd w:val="clear" w:color="auto" w:fill="FEFEFE"/>
              </w:rPr>
              <w:t xml:space="preserve">и с </w:t>
            </w:r>
            <w:r w:rsidR="000C4BF9" w:rsidRPr="00FB202F">
              <w:rPr>
                <w:rFonts w:ascii="Times New Roman" w:hAnsi="Times New Roman" w:cs="Times New Roman"/>
                <w:sz w:val="24"/>
                <w:szCs w:val="24"/>
                <w:shd w:val="clear" w:color="auto" w:fill="FEFEFE"/>
              </w:rPr>
              <w:t>над 5+1 места</w:t>
            </w:r>
            <w:r w:rsidR="00533BC2" w:rsidRPr="00FB202F">
              <w:rPr>
                <w:rFonts w:ascii="Times New Roman" w:hAnsi="Times New Roman" w:cs="Times New Roman"/>
                <w:sz w:val="24"/>
                <w:szCs w:val="24"/>
                <w:shd w:val="clear" w:color="auto" w:fill="FEFEFE"/>
              </w:rPr>
              <w:t xml:space="preserve">, ако </w:t>
            </w:r>
            <w:r w:rsidR="000C4BF9" w:rsidRPr="00FB202F">
              <w:rPr>
                <w:rFonts w:ascii="Times New Roman" w:hAnsi="Times New Roman" w:cs="Times New Roman"/>
                <w:sz w:val="24"/>
                <w:szCs w:val="24"/>
                <w:shd w:val="clear" w:color="auto" w:fill="FEFEFE"/>
              </w:rPr>
              <w:t>МИГ</w:t>
            </w:r>
            <w:r w:rsidR="00533BC2" w:rsidRPr="00FB202F">
              <w:rPr>
                <w:rFonts w:ascii="Times New Roman" w:hAnsi="Times New Roman" w:cs="Times New Roman"/>
                <w:sz w:val="24"/>
                <w:szCs w:val="24"/>
                <w:shd w:val="clear" w:color="auto" w:fill="FEFEFE"/>
              </w:rPr>
              <w:t xml:space="preserve"> няма такъв или има закупен преди 201</w:t>
            </w:r>
            <w:r w:rsidR="00E61DAF">
              <w:rPr>
                <w:rFonts w:ascii="Times New Roman" w:hAnsi="Times New Roman" w:cs="Times New Roman"/>
                <w:sz w:val="24"/>
                <w:szCs w:val="24"/>
                <w:shd w:val="clear" w:color="auto" w:fill="FEFEFE"/>
              </w:rPr>
              <w:t>6</w:t>
            </w:r>
            <w:r w:rsidR="00533BC2" w:rsidRPr="00FB202F">
              <w:rPr>
                <w:rFonts w:ascii="Times New Roman" w:hAnsi="Times New Roman" w:cs="Times New Roman"/>
                <w:sz w:val="24"/>
                <w:szCs w:val="24"/>
                <w:shd w:val="clear" w:color="auto" w:fill="FEFEFE"/>
              </w:rPr>
              <w:t xml:space="preserve"> г.</w:t>
            </w:r>
            <w:r w:rsidR="000C4BF9" w:rsidRPr="00FB202F">
              <w:rPr>
                <w:rFonts w:ascii="Times New Roman" w:hAnsi="Times New Roman" w:cs="Times New Roman"/>
                <w:sz w:val="24"/>
                <w:szCs w:val="24"/>
                <w:shd w:val="clear" w:color="auto" w:fill="FEFEFE"/>
              </w:rPr>
              <w:t xml:space="preserve">; </w:t>
            </w:r>
          </w:p>
          <w:p w14:paraId="47DC7F82" w14:textId="1D87ECE4" w:rsidR="000C4BF9" w:rsidRPr="00FB202F" w:rsidRDefault="00D5799B" w:rsidP="002F1854">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2.1.</w:t>
            </w:r>
            <w:r w:rsidR="000C4BF9" w:rsidRPr="00FB202F">
              <w:rPr>
                <w:rFonts w:ascii="Times New Roman" w:hAnsi="Times New Roman" w:cs="Times New Roman"/>
                <w:sz w:val="24"/>
                <w:szCs w:val="24"/>
                <w:shd w:val="clear" w:color="auto" w:fill="FEFEFE"/>
              </w:rPr>
              <w:t>7. разходи за обучения на екипа и членовете на колективния върховен орган във връзка с прилагането на стратегията за местно развитие;</w:t>
            </w:r>
          </w:p>
          <w:p w14:paraId="71146E79" w14:textId="52540D42" w:rsidR="000C4BF9" w:rsidRPr="00FB202F" w:rsidRDefault="00171F48" w:rsidP="00805E12">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2.1.</w:t>
            </w:r>
            <w:r w:rsidR="00D83751">
              <w:rPr>
                <w:rFonts w:ascii="Times New Roman" w:hAnsi="Times New Roman" w:cs="Times New Roman"/>
                <w:sz w:val="24"/>
                <w:szCs w:val="24"/>
                <w:shd w:val="clear" w:color="auto" w:fill="FEFEFE"/>
              </w:rPr>
              <w:t>8</w:t>
            </w:r>
            <w:r w:rsidR="000C4BF9" w:rsidRPr="00FB202F">
              <w:rPr>
                <w:rFonts w:ascii="Times New Roman" w:hAnsi="Times New Roman" w:cs="Times New Roman"/>
                <w:sz w:val="24"/>
                <w:szCs w:val="24"/>
                <w:shd w:val="clear" w:color="auto" w:fill="FEFEFE"/>
              </w:rPr>
              <w:t>. разходи, свързани с публични отношения</w:t>
            </w:r>
            <w:r w:rsidR="00831F00">
              <w:rPr>
                <w:rFonts w:ascii="Times New Roman" w:hAnsi="Times New Roman" w:cs="Times New Roman"/>
                <w:sz w:val="24"/>
                <w:szCs w:val="24"/>
                <w:shd w:val="clear" w:color="auto" w:fill="FEFEFE"/>
              </w:rPr>
              <w:t xml:space="preserve"> (</w:t>
            </w:r>
            <w:r w:rsidR="000C4BF9" w:rsidRPr="00FB202F">
              <w:rPr>
                <w:rFonts w:ascii="Times New Roman" w:hAnsi="Times New Roman" w:cs="Times New Roman"/>
                <w:sz w:val="24"/>
                <w:szCs w:val="24"/>
                <w:shd w:val="clear" w:color="auto" w:fill="FEFEFE"/>
              </w:rPr>
              <w:t>разходи за организиране на срещи на МИГ, разходи за работа в мрежа, участие на екипа и членовете на колективния върховен орган в срещи с други МИГ</w:t>
            </w:r>
            <w:r w:rsidR="00831F00">
              <w:rPr>
                <w:rFonts w:ascii="Times New Roman" w:hAnsi="Times New Roman" w:cs="Times New Roman"/>
                <w:sz w:val="24"/>
                <w:szCs w:val="24"/>
                <w:shd w:val="clear" w:color="auto" w:fill="FEFEFE"/>
              </w:rPr>
              <w:t>)</w:t>
            </w:r>
            <w:r w:rsidR="000C4BF9" w:rsidRPr="00FB202F">
              <w:rPr>
                <w:rFonts w:ascii="Times New Roman" w:hAnsi="Times New Roman" w:cs="Times New Roman"/>
                <w:sz w:val="24"/>
                <w:szCs w:val="24"/>
                <w:shd w:val="clear" w:color="auto" w:fill="FEFEFE"/>
              </w:rPr>
              <w:t xml:space="preserve">; </w:t>
            </w:r>
          </w:p>
          <w:p w14:paraId="37DF0667" w14:textId="1009D15A" w:rsidR="000C4BF9" w:rsidRPr="00FB202F" w:rsidRDefault="00FE24FC">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2.1.</w:t>
            </w:r>
            <w:r w:rsidR="00D83751">
              <w:rPr>
                <w:rFonts w:ascii="Times New Roman" w:hAnsi="Times New Roman" w:cs="Times New Roman"/>
                <w:sz w:val="24"/>
                <w:szCs w:val="24"/>
                <w:shd w:val="clear" w:color="auto" w:fill="FEFEFE"/>
              </w:rPr>
              <w:t>9</w:t>
            </w:r>
            <w:r w:rsidR="000C4BF9" w:rsidRPr="00FB202F">
              <w:rPr>
                <w:rFonts w:ascii="Times New Roman" w:hAnsi="Times New Roman" w:cs="Times New Roman"/>
                <w:sz w:val="24"/>
                <w:szCs w:val="24"/>
                <w:shd w:val="clear" w:color="auto" w:fill="FEFEFE"/>
              </w:rPr>
              <w:t>. разходи за участие на МИГ в дейности на Националната и на Европейската селска мрежа за развитие на селските райони, както и на Европейската ЛИДЕР асоциация и други асоциации на МИГ;</w:t>
            </w:r>
          </w:p>
          <w:p w14:paraId="02056D5F" w14:textId="01DCE0FA" w:rsidR="000C4BF9" w:rsidRPr="00FB202F" w:rsidRDefault="00B53C2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2.1.</w:t>
            </w:r>
            <w:r w:rsidR="000C4BF9" w:rsidRPr="00FB202F">
              <w:rPr>
                <w:rFonts w:ascii="Times New Roman" w:hAnsi="Times New Roman" w:cs="Times New Roman"/>
                <w:sz w:val="24"/>
                <w:szCs w:val="24"/>
                <w:shd w:val="clear" w:color="auto" w:fill="FEFEFE"/>
              </w:rPr>
              <w:t>1</w:t>
            </w:r>
            <w:r w:rsidR="00D83751">
              <w:rPr>
                <w:rFonts w:ascii="Times New Roman" w:hAnsi="Times New Roman" w:cs="Times New Roman"/>
                <w:sz w:val="24"/>
                <w:szCs w:val="24"/>
                <w:shd w:val="clear" w:color="auto" w:fill="FEFEFE"/>
              </w:rPr>
              <w:t>0</w:t>
            </w:r>
            <w:r w:rsidR="000C4BF9" w:rsidRPr="00FB202F">
              <w:rPr>
                <w:rFonts w:ascii="Times New Roman" w:hAnsi="Times New Roman" w:cs="Times New Roman"/>
                <w:sz w:val="24"/>
                <w:szCs w:val="24"/>
                <w:shd w:val="clear" w:color="auto" w:fill="FEFEFE"/>
              </w:rPr>
              <w:t xml:space="preserve">. финансови разходи, в т. ч. банкови такси за управление на </w:t>
            </w:r>
            <w:r w:rsidR="00796857">
              <w:rPr>
                <w:rFonts w:ascii="Times New Roman" w:hAnsi="Times New Roman" w:cs="Times New Roman"/>
                <w:sz w:val="24"/>
                <w:szCs w:val="24"/>
                <w:shd w:val="clear" w:color="auto" w:fill="FEFEFE"/>
              </w:rPr>
              <w:t xml:space="preserve">една </w:t>
            </w:r>
            <w:r w:rsidR="000C4BF9" w:rsidRPr="00FB202F">
              <w:rPr>
                <w:rFonts w:ascii="Times New Roman" w:hAnsi="Times New Roman" w:cs="Times New Roman"/>
                <w:sz w:val="24"/>
                <w:szCs w:val="24"/>
                <w:shd w:val="clear" w:color="auto" w:fill="FEFEFE"/>
              </w:rPr>
              <w:t>сметк</w:t>
            </w:r>
            <w:r w:rsidR="00796857">
              <w:rPr>
                <w:rFonts w:ascii="Times New Roman" w:hAnsi="Times New Roman" w:cs="Times New Roman"/>
                <w:sz w:val="24"/>
                <w:szCs w:val="24"/>
                <w:shd w:val="clear" w:color="auto" w:fill="FEFEFE"/>
              </w:rPr>
              <w:t>а</w:t>
            </w:r>
            <w:r w:rsidR="005368B6">
              <w:rPr>
                <w:rFonts w:ascii="Times New Roman" w:hAnsi="Times New Roman" w:cs="Times New Roman"/>
                <w:sz w:val="24"/>
                <w:szCs w:val="24"/>
                <w:shd w:val="clear" w:color="auto" w:fill="FEFEFE"/>
              </w:rPr>
              <w:t xml:space="preserve"> и</w:t>
            </w:r>
            <w:r w:rsidR="000C4BF9" w:rsidRPr="00FB202F">
              <w:rPr>
                <w:rFonts w:ascii="Times New Roman" w:hAnsi="Times New Roman" w:cs="Times New Roman"/>
                <w:sz w:val="24"/>
                <w:szCs w:val="24"/>
                <w:shd w:val="clear" w:color="auto" w:fill="FEFEFE"/>
              </w:rPr>
              <w:t xml:space="preserve"> </w:t>
            </w:r>
            <w:r w:rsidR="000C4BF9" w:rsidRPr="00FB202F">
              <w:rPr>
                <w:rFonts w:ascii="Times New Roman" w:hAnsi="Times New Roman" w:cs="Times New Roman"/>
                <w:sz w:val="24"/>
                <w:szCs w:val="24"/>
                <w:shd w:val="clear" w:color="auto" w:fill="FEFEFE"/>
              </w:rPr>
              <w:lastRenderedPageBreak/>
              <w:t>такси за издаване на изискуеми документи;</w:t>
            </w:r>
          </w:p>
          <w:p w14:paraId="254181B9" w14:textId="1DDE3C78" w:rsidR="000C4BF9" w:rsidRPr="00FB202F" w:rsidRDefault="00B53C26"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2.1.</w:t>
            </w:r>
            <w:r w:rsidR="000C4BF9" w:rsidRPr="00FB202F">
              <w:rPr>
                <w:rFonts w:ascii="Times New Roman" w:hAnsi="Times New Roman" w:cs="Times New Roman"/>
                <w:sz w:val="24"/>
                <w:szCs w:val="24"/>
                <w:shd w:val="clear" w:color="auto" w:fill="FEFEFE"/>
              </w:rPr>
              <w:t>1</w:t>
            </w:r>
            <w:r w:rsidR="00D83751">
              <w:rPr>
                <w:rFonts w:ascii="Times New Roman" w:hAnsi="Times New Roman" w:cs="Times New Roman"/>
                <w:sz w:val="24"/>
                <w:szCs w:val="24"/>
                <w:shd w:val="clear" w:color="auto" w:fill="FEFEFE"/>
              </w:rPr>
              <w:t>1</w:t>
            </w:r>
            <w:r w:rsidR="000C4BF9" w:rsidRPr="00FB202F">
              <w:rPr>
                <w:rFonts w:ascii="Times New Roman" w:hAnsi="Times New Roman" w:cs="Times New Roman"/>
                <w:sz w:val="24"/>
                <w:szCs w:val="24"/>
                <w:shd w:val="clear" w:color="auto" w:fill="FEFEFE"/>
              </w:rPr>
              <w:t xml:space="preserve">. разходи за мониторинг </w:t>
            </w:r>
            <w:r w:rsidRPr="00FB202F">
              <w:rPr>
                <w:rFonts w:ascii="Times New Roman" w:hAnsi="Times New Roman" w:cs="Times New Roman"/>
                <w:sz w:val="24"/>
                <w:szCs w:val="24"/>
                <w:shd w:val="clear" w:color="auto" w:fill="FEFEFE"/>
              </w:rPr>
              <w:t>и оценка на стратегията за ВОМР.</w:t>
            </w:r>
          </w:p>
          <w:p w14:paraId="5294EC0C" w14:textId="36F62B76" w:rsidR="00E3372F" w:rsidRDefault="00E3372F"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 Разходи за популяризиране на стратегията за ВОМР:</w:t>
            </w:r>
          </w:p>
          <w:p w14:paraId="4B89A52B" w14:textId="1CEE1A72" w:rsidR="000C4BF9" w:rsidRPr="00FB202F" w:rsidRDefault="008C10B3"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00A911B8" w:rsidRPr="00FB202F">
              <w:rPr>
                <w:rFonts w:ascii="Times New Roman" w:hAnsi="Times New Roman" w:cs="Times New Roman"/>
                <w:sz w:val="24"/>
                <w:szCs w:val="24"/>
                <w:shd w:val="clear" w:color="auto" w:fill="FEFEFE"/>
              </w:rPr>
              <w:t>2</w:t>
            </w:r>
            <w:r w:rsidRPr="00FB202F">
              <w:rPr>
                <w:rFonts w:ascii="Times New Roman" w:hAnsi="Times New Roman" w:cs="Times New Roman"/>
                <w:sz w:val="24"/>
                <w:szCs w:val="24"/>
                <w:shd w:val="clear" w:color="auto" w:fill="FEFEFE"/>
              </w:rPr>
              <w:t>.</w:t>
            </w:r>
            <w:proofErr w:type="spellStart"/>
            <w:r w:rsidR="00E3372F">
              <w:rPr>
                <w:rFonts w:ascii="Times New Roman" w:hAnsi="Times New Roman" w:cs="Times New Roman"/>
                <w:sz w:val="24"/>
                <w:szCs w:val="24"/>
                <w:shd w:val="clear" w:color="auto" w:fill="FEFEFE"/>
              </w:rPr>
              <w:t>2</w:t>
            </w:r>
            <w:proofErr w:type="spellEnd"/>
            <w:r w:rsidR="000C4BF9" w:rsidRPr="00FB202F">
              <w:rPr>
                <w:rFonts w:ascii="Times New Roman" w:hAnsi="Times New Roman" w:cs="Times New Roman"/>
                <w:sz w:val="24"/>
                <w:szCs w:val="24"/>
                <w:shd w:val="clear" w:color="auto" w:fill="FEFEFE"/>
              </w:rPr>
              <w:t>.</w:t>
            </w:r>
            <w:r w:rsidR="00A911B8" w:rsidRPr="00FB202F">
              <w:rPr>
                <w:rFonts w:ascii="Times New Roman" w:hAnsi="Times New Roman" w:cs="Times New Roman"/>
                <w:sz w:val="24"/>
                <w:szCs w:val="24"/>
                <w:shd w:val="clear" w:color="auto" w:fill="FEFEFE"/>
              </w:rPr>
              <w:t>1.</w:t>
            </w:r>
            <w:r w:rsidR="000C4BF9" w:rsidRPr="00FB202F">
              <w:rPr>
                <w:rFonts w:ascii="Times New Roman" w:hAnsi="Times New Roman" w:cs="Times New Roman"/>
                <w:sz w:val="24"/>
                <w:szCs w:val="24"/>
                <w:shd w:val="clear" w:color="auto" w:fill="FEFEFE"/>
              </w:rPr>
              <w:t xml:space="preserve"> разходи за проучвания и анализи на съответната територия (териториални, икономически, социални и други анализи и проучвания);</w:t>
            </w:r>
          </w:p>
          <w:p w14:paraId="7A9251E3" w14:textId="75795350" w:rsidR="000C4BF9" w:rsidRPr="00FB202F" w:rsidRDefault="00021218"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00A911B8" w:rsidRPr="00FB202F">
              <w:rPr>
                <w:rFonts w:ascii="Times New Roman" w:hAnsi="Times New Roman" w:cs="Times New Roman"/>
                <w:sz w:val="24"/>
                <w:szCs w:val="24"/>
                <w:shd w:val="clear" w:color="auto" w:fill="FEFEFE"/>
              </w:rPr>
              <w:t>2</w:t>
            </w:r>
            <w:r w:rsidRPr="00FB202F">
              <w:rPr>
                <w:rFonts w:ascii="Times New Roman" w:hAnsi="Times New Roman" w:cs="Times New Roman"/>
                <w:sz w:val="24"/>
                <w:szCs w:val="24"/>
                <w:shd w:val="clear" w:color="auto" w:fill="FEFEFE"/>
              </w:rPr>
              <w:t>.</w:t>
            </w:r>
            <w:proofErr w:type="spellStart"/>
            <w:r w:rsidR="00E3372F">
              <w:rPr>
                <w:rFonts w:ascii="Times New Roman" w:hAnsi="Times New Roman" w:cs="Times New Roman"/>
                <w:sz w:val="24"/>
                <w:szCs w:val="24"/>
                <w:shd w:val="clear" w:color="auto" w:fill="FEFEFE"/>
              </w:rPr>
              <w:t>2</w:t>
            </w:r>
            <w:proofErr w:type="spellEnd"/>
            <w:r w:rsidR="000C4BF9" w:rsidRPr="00FB202F">
              <w:rPr>
                <w:rFonts w:ascii="Times New Roman" w:hAnsi="Times New Roman" w:cs="Times New Roman"/>
                <w:sz w:val="24"/>
                <w:szCs w:val="24"/>
                <w:shd w:val="clear" w:color="auto" w:fill="FEFEFE"/>
              </w:rPr>
              <w:t>.</w:t>
            </w:r>
            <w:r w:rsidR="00E3372F">
              <w:rPr>
                <w:rFonts w:ascii="Times New Roman" w:hAnsi="Times New Roman" w:cs="Times New Roman"/>
                <w:sz w:val="24"/>
                <w:szCs w:val="24"/>
                <w:shd w:val="clear" w:color="auto" w:fill="FEFEFE"/>
              </w:rPr>
              <w:t>2</w:t>
            </w:r>
            <w:r w:rsidR="00A911B8" w:rsidRPr="00FB202F">
              <w:rPr>
                <w:rFonts w:ascii="Times New Roman" w:hAnsi="Times New Roman" w:cs="Times New Roman"/>
                <w:sz w:val="24"/>
                <w:szCs w:val="24"/>
                <w:shd w:val="clear" w:color="auto" w:fill="FEFEFE"/>
              </w:rPr>
              <w:t>.</w:t>
            </w:r>
            <w:r w:rsidR="000C4BF9" w:rsidRPr="00FB202F">
              <w:rPr>
                <w:rFonts w:ascii="Times New Roman" w:hAnsi="Times New Roman" w:cs="Times New Roman"/>
                <w:sz w:val="24"/>
                <w:szCs w:val="24"/>
                <w:shd w:val="clear" w:color="auto" w:fill="FEFEFE"/>
              </w:rPr>
              <w:t xml:space="preserve"> разходи за популяризиране, информиране и публичност:</w:t>
            </w:r>
          </w:p>
          <w:p w14:paraId="5A5C678D" w14:textId="77777777"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 а) за създаване и поддръжка на интернет страница;</w:t>
            </w:r>
          </w:p>
          <w:p w14:paraId="25FD7041" w14:textId="77777777"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 б) за създаване и реализиране на публикации в печатни и електронни медии и излъчвания в радио- и телевизионни медии на покани за организирани събития и други, свързани с популяризиране дейността на МИГ;</w:t>
            </w:r>
          </w:p>
          <w:p w14:paraId="06C833E6" w14:textId="77777777"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 в) отпечатване на брошури, материали за обучение и други печатни материали, изработване на рекламни материали и други, свързани с популяризиране дейността на МИГ;</w:t>
            </w:r>
          </w:p>
          <w:p w14:paraId="497BC091" w14:textId="77777777"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 г) преводи;</w:t>
            </w:r>
          </w:p>
          <w:p w14:paraId="2B97557E" w14:textId="77777777"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 д) изработка и монтаж на табели и билбордове за популяризиране на МИГ;</w:t>
            </w:r>
          </w:p>
          <w:p w14:paraId="67B77BF1" w14:textId="77777777"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 е) свързани с изготвяне на материали, подпомагащи потенциалните получатели на финансова помощ при разработването на дейности и подготовката на заявления;</w:t>
            </w:r>
          </w:p>
          <w:p w14:paraId="051ABD19" w14:textId="77777777" w:rsidR="000C4BF9" w:rsidRPr="00FB202F" w:rsidRDefault="000C4BF9"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 ж) други разходи за популяризиране, информиране и публичност;</w:t>
            </w:r>
          </w:p>
          <w:p w14:paraId="6DD514D0" w14:textId="4A7E2457" w:rsidR="000C4BF9" w:rsidRPr="00FB202F" w:rsidRDefault="00A911B8"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2</w:t>
            </w:r>
            <w:r w:rsidR="00021218" w:rsidRPr="00FB202F">
              <w:rPr>
                <w:rFonts w:ascii="Times New Roman" w:hAnsi="Times New Roman" w:cs="Times New Roman"/>
                <w:sz w:val="24"/>
                <w:szCs w:val="24"/>
                <w:shd w:val="clear" w:color="auto" w:fill="FEFEFE"/>
              </w:rPr>
              <w:t>.</w:t>
            </w:r>
            <w:proofErr w:type="spellStart"/>
            <w:r w:rsidR="00E3372F">
              <w:rPr>
                <w:rFonts w:ascii="Times New Roman" w:hAnsi="Times New Roman" w:cs="Times New Roman"/>
                <w:sz w:val="24"/>
                <w:szCs w:val="24"/>
                <w:shd w:val="clear" w:color="auto" w:fill="FEFEFE"/>
              </w:rPr>
              <w:t>2</w:t>
            </w:r>
            <w:proofErr w:type="spellEnd"/>
            <w:r w:rsidR="000C4BF9" w:rsidRPr="00FB202F">
              <w:rPr>
                <w:rFonts w:ascii="Times New Roman" w:hAnsi="Times New Roman" w:cs="Times New Roman"/>
                <w:sz w:val="24"/>
                <w:szCs w:val="24"/>
                <w:shd w:val="clear" w:color="auto" w:fill="FEFEFE"/>
              </w:rPr>
              <w:t>.</w:t>
            </w:r>
            <w:r w:rsidR="00E3372F">
              <w:rPr>
                <w:rFonts w:ascii="Times New Roman" w:hAnsi="Times New Roman" w:cs="Times New Roman"/>
                <w:sz w:val="24"/>
                <w:szCs w:val="24"/>
                <w:shd w:val="clear" w:color="auto" w:fill="FEFEFE"/>
              </w:rPr>
              <w:t>3</w:t>
            </w:r>
            <w:r w:rsidRPr="00FB202F">
              <w:rPr>
                <w:rFonts w:ascii="Times New Roman" w:hAnsi="Times New Roman" w:cs="Times New Roman"/>
                <w:sz w:val="24"/>
                <w:szCs w:val="24"/>
                <w:shd w:val="clear" w:color="auto" w:fill="FEFEFE"/>
              </w:rPr>
              <w:t>.</w:t>
            </w:r>
            <w:r w:rsidR="000C4BF9" w:rsidRPr="00FB202F">
              <w:rPr>
                <w:rFonts w:ascii="Times New Roman" w:hAnsi="Times New Roman" w:cs="Times New Roman"/>
                <w:sz w:val="24"/>
                <w:szCs w:val="24"/>
                <w:shd w:val="clear" w:color="auto" w:fill="FEFEFE"/>
              </w:rPr>
              <w:t xml:space="preserve"> разходи за организиране на обучения, семинари и информационни срещи за местни лидери и за уязвими групи и застрашени от бедност целеви групи, включително роми, свързани с подготовка, изпълнение и отчитане на проекти и други, свързани с популяризиране на стратегията за ВОМР и прилагане на подхода.</w:t>
            </w:r>
          </w:p>
          <w:p w14:paraId="221CC934" w14:textId="77777777" w:rsidR="002E4D14" w:rsidRPr="00FB202F" w:rsidRDefault="002E4D14" w:rsidP="007541D6">
            <w:pPr>
              <w:spacing w:line="276" w:lineRule="auto"/>
              <w:ind w:firstLine="567"/>
              <w:jc w:val="both"/>
              <w:rPr>
                <w:rFonts w:ascii="Times New Roman" w:hAnsi="Times New Roman" w:cs="Times New Roman"/>
                <w:sz w:val="24"/>
                <w:szCs w:val="24"/>
                <w:shd w:val="clear" w:color="auto" w:fill="FEFEFE"/>
              </w:rPr>
            </w:pPr>
          </w:p>
          <w:p w14:paraId="7D5C1203" w14:textId="6444F63E" w:rsidR="002E4D14" w:rsidRPr="00FB202F" w:rsidRDefault="00021218"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00A911B8" w:rsidRPr="00FB202F">
              <w:rPr>
                <w:rFonts w:ascii="Times New Roman" w:hAnsi="Times New Roman" w:cs="Times New Roman"/>
                <w:sz w:val="24"/>
                <w:szCs w:val="24"/>
                <w:shd w:val="clear" w:color="auto" w:fill="FEFEFE"/>
              </w:rPr>
              <w:t>3</w:t>
            </w:r>
            <w:r w:rsidRPr="00FB202F">
              <w:rPr>
                <w:rFonts w:ascii="Times New Roman" w:hAnsi="Times New Roman" w:cs="Times New Roman"/>
                <w:sz w:val="24"/>
                <w:szCs w:val="24"/>
                <w:shd w:val="clear" w:color="auto" w:fill="FEFEFE"/>
              </w:rPr>
              <w:t xml:space="preserve">. </w:t>
            </w:r>
            <w:r w:rsidR="002E4D14" w:rsidRPr="00FB202F">
              <w:rPr>
                <w:rFonts w:ascii="Times New Roman" w:hAnsi="Times New Roman" w:cs="Times New Roman"/>
                <w:sz w:val="24"/>
                <w:szCs w:val="24"/>
                <w:shd w:val="clear" w:color="auto" w:fill="FEFEFE"/>
              </w:rPr>
              <w:t>Изисквания по отношение на разходите за управление, мониторинг и оценка на СВОМР и нейното популяризиране</w:t>
            </w:r>
            <w:r w:rsidRPr="00FB202F">
              <w:rPr>
                <w:rFonts w:ascii="Times New Roman" w:hAnsi="Times New Roman" w:cs="Times New Roman"/>
                <w:sz w:val="24"/>
                <w:szCs w:val="24"/>
                <w:shd w:val="clear" w:color="auto" w:fill="FEFEFE"/>
              </w:rPr>
              <w:t>:</w:t>
            </w:r>
          </w:p>
          <w:p w14:paraId="502C0ADA" w14:textId="44A7A428" w:rsidR="002E4D14" w:rsidRPr="00FB202F" w:rsidRDefault="00021218"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00A911B8" w:rsidRPr="00FB202F">
              <w:rPr>
                <w:rFonts w:ascii="Times New Roman" w:hAnsi="Times New Roman" w:cs="Times New Roman"/>
                <w:sz w:val="24"/>
                <w:szCs w:val="24"/>
                <w:shd w:val="clear" w:color="auto" w:fill="FEFEFE"/>
              </w:rPr>
              <w:t>3</w:t>
            </w:r>
            <w:r w:rsidRPr="00FB202F">
              <w:rPr>
                <w:rFonts w:ascii="Times New Roman" w:hAnsi="Times New Roman" w:cs="Times New Roman"/>
                <w:sz w:val="24"/>
                <w:szCs w:val="24"/>
                <w:shd w:val="clear" w:color="auto" w:fill="FEFEFE"/>
              </w:rPr>
              <w:t>.</w:t>
            </w:r>
            <w:r w:rsidR="002E4D14" w:rsidRPr="00FB202F">
              <w:rPr>
                <w:rFonts w:ascii="Times New Roman" w:hAnsi="Times New Roman" w:cs="Times New Roman"/>
                <w:sz w:val="24"/>
                <w:szCs w:val="24"/>
                <w:shd w:val="clear" w:color="auto" w:fill="FEFEFE"/>
              </w:rPr>
              <w:t>1. Разходите, предвидени за дейностите по управление, мониторинг и оценка на стратегиите за ВОМР и тяхното популяризиране не може да надвишава</w:t>
            </w:r>
            <w:r w:rsidRPr="00FB202F">
              <w:rPr>
                <w:rFonts w:ascii="Times New Roman" w:hAnsi="Times New Roman" w:cs="Times New Roman"/>
                <w:sz w:val="24"/>
                <w:szCs w:val="24"/>
                <w:shd w:val="clear" w:color="auto" w:fill="FEFEFE"/>
              </w:rPr>
              <w:t>т</w:t>
            </w:r>
            <w:r w:rsidR="002E4D14" w:rsidRPr="00FB202F">
              <w:rPr>
                <w:rFonts w:ascii="Times New Roman" w:hAnsi="Times New Roman" w:cs="Times New Roman"/>
                <w:sz w:val="24"/>
                <w:szCs w:val="24"/>
                <w:shd w:val="clear" w:color="auto" w:fill="FEFEFE"/>
              </w:rPr>
              <w:t xml:space="preserve"> 25 на сто от общия размер на публичния принос на ЕЗФРСР по стратегията;</w:t>
            </w:r>
          </w:p>
          <w:p w14:paraId="60411E28" w14:textId="77777777" w:rsidR="00431E7A" w:rsidRDefault="00021218"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00A911B8" w:rsidRPr="00FB202F">
              <w:rPr>
                <w:rFonts w:ascii="Times New Roman" w:hAnsi="Times New Roman" w:cs="Times New Roman"/>
                <w:sz w:val="24"/>
                <w:szCs w:val="24"/>
                <w:shd w:val="clear" w:color="auto" w:fill="FEFEFE"/>
              </w:rPr>
              <w:t>3</w:t>
            </w:r>
            <w:r w:rsidRPr="00FB202F">
              <w:rPr>
                <w:rFonts w:ascii="Times New Roman" w:hAnsi="Times New Roman" w:cs="Times New Roman"/>
                <w:sz w:val="24"/>
                <w:szCs w:val="24"/>
                <w:shd w:val="clear" w:color="auto" w:fill="FEFEFE"/>
              </w:rPr>
              <w:t>.</w:t>
            </w:r>
            <w:r w:rsidR="002E4D14" w:rsidRPr="00FB202F">
              <w:rPr>
                <w:rFonts w:ascii="Times New Roman" w:hAnsi="Times New Roman" w:cs="Times New Roman"/>
                <w:sz w:val="24"/>
                <w:szCs w:val="24"/>
                <w:shd w:val="clear" w:color="auto" w:fill="FEFEFE"/>
              </w:rPr>
              <w:t>2. Разходите за популяризиране на стратегията са най-малко 20 на сто от общия размер на разходите по мярката;</w:t>
            </w:r>
          </w:p>
          <w:p w14:paraId="2C1CA9F9" w14:textId="36045BC3" w:rsidR="002E4D14" w:rsidRPr="00FB202F" w:rsidRDefault="00021218"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00A911B8" w:rsidRPr="00FB202F">
              <w:rPr>
                <w:rFonts w:ascii="Times New Roman" w:hAnsi="Times New Roman" w:cs="Times New Roman"/>
                <w:sz w:val="24"/>
                <w:szCs w:val="24"/>
                <w:shd w:val="clear" w:color="auto" w:fill="FEFEFE"/>
              </w:rPr>
              <w:t>3</w:t>
            </w:r>
            <w:r w:rsidRPr="00FB202F">
              <w:rPr>
                <w:rFonts w:ascii="Times New Roman" w:hAnsi="Times New Roman" w:cs="Times New Roman"/>
                <w:sz w:val="24"/>
                <w:szCs w:val="24"/>
                <w:shd w:val="clear" w:color="auto" w:fill="FEFEFE"/>
              </w:rPr>
              <w:t>.</w:t>
            </w:r>
            <w:proofErr w:type="spellStart"/>
            <w:r w:rsidR="002E4D14" w:rsidRPr="00FB202F">
              <w:rPr>
                <w:rFonts w:ascii="Times New Roman" w:hAnsi="Times New Roman" w:cs="Times New Roman"/>
                <w:sz w:val="24"/>
                <w:szCs w:val="24"/>
                <w:shd w:val="clear" w:color="auto" w:fill="FEFEFE"/>
              </w:rPr>
              <w:t>3</w:t>
            </w:r>
            <w:proofErr w:type="spellEnd"/>
            <w:r w:rsidR="002E4D14" w:rsidRPr="00FB202F">
              <w:rPr>
                <w:rFonts w:ascii="Times New Roman" w:hAnsi="Times New Roman" w:cs="Times New Roman"/>
                <w:sz w:val="24"/>
                <w:szCs w:val="24"/>
                <w:shd w:val="clear" w:color="auto" w:fill="FEFEFE"/>
              </w:rPr>
              <w:t>. Непреките разходи не надвишават</w:t>
            </w:r>
            <w:r w:rsidRPr="00FB202F">
              <w:rPr>
                <w:rFonts w:ascii="Times New Roman" w:hAnsi="Times New Roman" w:cs="Times New Roman"/>
                <w:sz w:val="24"/>
                <w:szCs w:val="24"/>
                <w:shd w:val="clear" w:color="auto" w:fill="FEFEFE"/>
              </w:rPr>
              <w:t xml:space="preserve"> 15 на сто от средствата по т. 14.</w:t>
            </w:r>
            <w:r w:rsidR="00BE4D79">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w:t>
            </w:r>
            <w:r w:rsidR="00BE4D79">
              <w:rPr>
                <w:rFonts w:ascii="Times New Roman" w:hAnsi="Times New Roman" w:cs="Times New Roman"/>
                <w:sz w:val="24"/>
                <w:szCs w:val="24"/>
                <w:shd w:val="clear" w:color="auto" w:fill="FEFEFE"/>
              </w:rPr>
              <w:t>2.</w:t>
            </w:r>
            <w:r w:rsidRPr="00FB202F">
              <w:rPr>
                <w:rFonts w:ascii="Times New Roman" w:hAnsi="Times New Roman" w:cs="Times New Roman"/>
                <w:sz w:val="24"/>
                <w:szCs w:val="24"/>
                <w:shd w:val="clear" w:color="auto" w:fill="FEFEFE"/>
              </w:rPr>
              <w:t>1</w:t>
            </w:r>
            <w:r w:rsidR="00BE4D79">
              <w:rPr>
                <w:rFonts w:ascii="Times New Roman" w:hAnsi="Times New Roman" w:cs="Times New Roman"/>
                <w:sz w:val="24"/>
                <w:szCs w:val="24"/>
                <w:shd w:val="clear" w:color="auto" w:fill="FEFEFE"/>
              </w:rPr>
              <w:t>.1</w:t>
            </w:r>
            <w:r w:rsidR="002E4D14" w:rsidRPr="00FB202F">
              <w:rPr>
                <w:rFonts w:ascii="Times New Roman" w:hAnsi="Times New Roman" w:cs="Times New Roman"/>
                <w:sz w:val="24"/>
                <w:szCs w:val="24"/>
                <w:shd w:val="clear" w:color="auto" w:fill="FEFEFE"/>
              </w:rPr>
              <w:t>;</w:t>
            </w:r>
          </w:p>
          <w:p w14:paraId="62B17AC4" w14:textId="430F3338" w:rsidR="002E4D14" w:rsidRDefault="00021218"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00A911B8" w:rsidRPr="00FB202F">
              <w:rPr>
                <w:rFonts w:ascii="Times New Roman" w:hAnsi="Times New Roman" w:cs="Times New Roman"/>
                <w:sz w:val="24"/>
                <w:szCs w:val="24"/>
                <w:shd w:val="clear" w:color="auto" w:fill="FEFEFE"/>
              </w:rPr>
              <w:t>3</w:t>
            </w:r>
            <w:r w:rsidRPr="00FB202F">
              <w:rPr>
                <w:rFonts w:ascii="Times New Roman" w:hAnsi="Times New Roman" w:cs="Times New Roman"/>
                <w:sz w:val="24"/>
                <w:szCs w:val="24"/>
                <w:shd w:val="clear" w:color="auto" w:fill="FEFEFE"/>
              </w:rPr>
              <w:t>.</w:t>
            </w:r>
            <w:r w:rsidR="002E4D14" w:rsidRPr="00FB202F">
              <w:rPr>
                <w:rFonts w:ascii="Times New Roman" w:hAnsi="Times New Roman" w:cs="Times New Roman"/>
                <w:sz w:val="24"/>
                <w:szCs w:val="24"/>
                <w:shd w:val="clear" w:color="auto" w:fill="FEFEFE"/>
              </w:rPr>
              <w:t xml:space="preserve">4. Средствата се планират до </w:t>
            </w:r>
            <w:r w:rsidR="002E04D3">
              <w:rPr>
                <w:rFonts w:ascii="Times New Roman" w:hAnsi="Times New Roman" w:cs="Times New Roman"/>
                <w:sz w:val="24"/>
                <w:szCs w:val="24"/>
                <w:shd w:val="clear" w:color="auto" w:fill="FEFEFE"/>
              </w:rPr>
              <w:t xml:space="preserve">30 септември </w:t>
            </w:r>
            <w:r w:rsidR="002E4D14" w:rsidRPr="00FB202F">
              <w:rPr>
                <w:rFonts w:ascii="Times New Roman" w:hAnsi="Times New Roman" w:cs="Times New Roman"/>
                <w:sz w:val="24"/>
                <w:szCs w:val="24"/>
                <w:shd w:val="clear" w:color="auto" w:fill="FEFEFE"/>
              </w:rPr>
              <w:t>2029 г., като за последната година се планират най-малко 10 на сто от общия размер по мярката.</w:t>
            </w:r>
          </w:p>
          <w:p w14:paraId="4049ADC8" w14:textId="77777777" w:rsidR="00521095" w:rsidRPr="00FB202F" w:rsidRDefault="00521095" w:rsidP="00640AC8">
            <w:pPr>
              <w:spacing w:line="276" w:lineRule="auto"/>
              <w:jc w:val="both"/>
              <w:rPr>
                <w:rFonts w:ascii="Times New Roman" w:hAnsi="Times New Roman" w:cs="Times New Roman"/>
                <w:sz w:val="24"/>
                <w:szCs w:val="24"/>
                <w:shd w:val="clear" w:color="auto" w:fill="FEFEFE"/>
              </w:rPr>
            </w:pPr>
          </w:p>
          <w:p w14:paraId="12008AFF" w14:textId="25F9D911" w:rsidR="00A911B8" w:rsidRPr="00FB202F" w:rsidRDefault="00A911B8"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14.</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 xml:space="preserve">4. </w:t>
            </w:r>
            <w:r w:rsidR="00C82261" w:rsidRPr="00FB202F">
              <w:rPr>
                <w:rFonts w:ascii="Times New Roman" w:hAnsi="Times New Roman" w:cs="Times New Roman"/>
                <w:sz w:val="24"/>
                <w:szCs w:val="24"/>
                <w:shd w:val="clear" w:color="auto" w:fill="FEFEFE"/>
              </w:rPr>
              <w:t>З</w:t>
            </w:r>
            <w:r w:rsidRPr="00FB202F">
              <w:rPr>
                <w:rFonts w:ascii="Times New Roman" w:hAnsi="Times New Roman" w:cs="Times New Roman"/>
                <w:sz w:val="24"/>
                <w:szCs w:val="24"/>
                <w:shd w:val="clear" w:color="auto" w:fill="FEFEFE"/>
              </w:rPr>
              <w:t xml:space="preserve">а </w:t>
            </w:r>
            <w:r w:rsidR="00C82261" w:rsidRPr="00FB202F">
              <w:rPr>
                <w:rFonts w:ascii="Times New Roman" w:hAnsi="Times New Roman" w:cs="Times New Roman"/>
                <w:sz w:val="24"/>
                <w:szCs w:val="24"/>
                <w:shd w:val="clear" w:color="auto" w:fill="FEFEFE"/>
              </w:rPr>
              <w:t xml:space="preserve">дейности за </w:t>
            </w:r>
            <w:r w:rsidRPr="00FB202F">
              <w:rPr>
                <w:rFonts w:ascii="Times New Roman" w:hAnsi="Times New Roman" w:cs="Times New Roman"/>
                <w:sz w:val="24"/>
                <w:szCs w:val="24"/>
                <w:shd w:val="clear" w:color="auto" w:fill="FEFEFE"/>
              </w:rPr>
              <w:t>сътрудничество и подготовка за него</w:t>
            </w:r>
            <w:r w:rsidR="00C82261" w:rsidRPr="00FB202F">
              <w:rPr>
                <w:rFonts w:ascii="Times New Roman" w:hAnsi="Times New Roman" w:cs="Times New Roman"/>
                <w:sz w:val="24"/>
                <w:szCs w:val="24"/>
                <w:shd w:val="clear" w:color="auto" w:fill="FEFEFE"/>
              </w:rPr>
              <w:t xml:space="preserve"> са допустими следните разходи</w:t>
            </w:r>
            <w:r w:rsidR="0068029B" w:rsidRPr="00FB202F">
              <w:rPr>
                <w:rFonts w:ascii="Times New Roman" w:hAnsi="Times New Roman" w:cs="Times New Roman"/>
                <w:sz w:val="24"/>
                <w:szCs w:val="24"/>
                <w:shd w:val="clear" w:color="auto" w:fill="FEFEFE"/>
              </w:rPr>
              <w:t xml:space="preserve"> за</w:t>
            </w:r>
            <w:r w:rsidRPr="00FB202F">
              <w:rPr>
                <w:rFonts w:ascii="Times New Roman" w:hAnsi="Times New Roman" w:cs="Times New Roman"/>
                <w:sz w:val="24"/>
                <w:szCs w:val="24"/>
                <w:shd w:val="clear" w:color="auto" w:fill="FEFEFE"/>
              </w:rPr>
              <w:t>:</w:t>
            </w:r>
          </w:p>
          <w:p w14:paraId="3F0567A8" w14:textId="7D091639" w:rsidR="00A911B8" w:rsidRDefault="00A911B8"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sidRPr="00FB202F">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 xml:space="preserve">4.1. </w:t>
            </w:r>
            <w:r w:rsidR="005A11C6" w:rsidRPr="00FB202F">
              <w:rPr>
                <w:rFonts w:ascii="Times New Roman" w:hAnsi="Times New Roman" w:cs="Times New Roman"/>
                <w:sz w:val="24"/>
                <w:szCs w:val="24"/>
                <w:shd w:val="clear" w:color="auto" w:fill="FEFEFE"/>
              </w:rPr>
              <w:t>р</w:t>
            </w:r>
            <w:r w:rsidRPr="00FB202F">
              <w:rPr>
                <w:rFonts w:ascii="Times New Roman" w:hAnsi="Times New Roman" w:cs="Times New Roman"/>
                <w:sz w:val="24"/>
                <w:szCs w:val="24"/>
                <w:shd w:val="clear" w:color="auto" w:fill="FEFEFE"/>
              </w:rPr>
              <w:t>азработване на съвместен продукт/услуга/дейност, вкл. материални и нематериални инвестиции;</w:t>
            </w:r>
          </w:p>
          <w:p w14:paraId="4D666CC6" w14:textId="60A6799F" w:rsidR="00A911B8" w:rsidRPr="00FB202F" w:rsidRDefault="00A911B8"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sidRPr="00FB202F">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 xml:space="preserve">4.2. </w:t>
            </w:r>
            <w:r w:rsidR="00334189" w:rsidRPr="00334189">
              <w:rPr>
                <w:rFonts w:ascii="Times New Roman" w:hAnsi="Times New Roman" w:cs="Times New Roman"/>
                <w:sz w:val="24"/>
                <w:szCs w:val="24"/>
                <w:shd w:val="clear" w:color="auto" w:fill="FEFEFE"/>
              </w:rPr>
              <w:t>строително-монтажни или строително-ремонтни работи на територията на партньорите от Република България</w:t>
            </w:r>
            <w:r w:rsidRPr="00FB202F">
              <w:rPr>
                <w:rFonts w:ascii="Times New Roman" w:hAnsi="Times New Roman" w:cs="Times New Roman"/>
                <w:sz w:val="24"/>
                <w:szCs w:val="24"/>
                <w:shd w:val="clear" w:color="auto" w:fill="FEFEFE"/>
              </w:rPr>
              <w:t>;</w:t>
            </w:r>
          </w:p>
          <w:p w14:paraId="6D67D27A" w14:textId="6D94BEC5" w:rsidR="00A911B8" w:rsidRPr="00FB202F" w:rsidRDefault="00A911B8"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sidRPr="00FB202F">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 xml:space="preserve">4.3. </w:t>
            </w:r>
            <w:r w:rsidR="00334189" w:rsidRPr="00334189">
              <w:rPr>
                <w:rFonts w:ascii="Times New Roman" w:hAnsi="Times New Roman" w:cs="Times New Roman"/>
                <w:sz w:val="24"/>
                <w:szCs w:val="24"/>
                <w:shd w:val="clear" w:color="auto" w:fill="FEFEFE"/>
              </w:rPr>
              <w:t>други материални и нематериални активи</w:t>
            </w:r>
            <w:r w:rsidRPr="00FB202F">
              <w:rPr>
                <w:rFonts w:ascii="Times New Roman" w:hAnsi="Times New Roman" w:cs="Times New Roman"/>
                <w:sz w:val="24"/>
                <w:szCs w:val="24"/>
                <w:shd w:val="clear" w:color="auto" w:fill="FEFEFE"/>
              </w:rPr>
              <w:t>;</w:t>
            </w:r>
          </w:p>
          <w:p w14:paraId="50AB5F3E" w14:textId="48C8033C" w:rsidR="00A911B8" w:rsidRPr="00FB202F" w:rsidRDefault="00A911B8"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sidRPr="00FB202F">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4.</w:t>
            </w:r>
            <w:proofErr w:type="spellStart"/>
            <w:r w:rsidR="00D83751">
              <w:rPr>
                <w:rFonts w:ascii="Times New Roman" w:hAnsi="Times New Roman" w:cs="Times New Roman"/>
                <w:sz w:val="24"/>
                <w:szCs w:val="24"/>
                <w:shd w:val="clear" w:color="auto" w:fill="FEFEFE"/>
              </w:rPr>
              <w:t>4</w:t>
            </w:r>
            <w:proofErr w:type="spellEnd"/>
            <w:r w:rsidRPr="00FB202F">
              <w:rPr>
                <w:rFonts w:ascii="Times New Roman" w:hAnsi="Times New Roman" w:cs="Times New Roman"/>
                <w:sz w:val="24"/>
                <w:szCs w:val="24"/>
                <w:shd w:val="clear" w:color="auto" w:fill="FEFEFE"/>
              </w:rPr>
              <w:t xml:space="preserve">. </w:t>
            </w:r>
            <w:r w:rsidR="00C04467" w:rsidRPr="00C04467">
              <w:rPr>
                <w:rFonts w:ascii="Times New Roman" w:hAnsi="Times New Roman" w:cs="Times New Roman"/>
                <w:sz w:val="24"/>
                <w:szCs w:val="24"/>
                <w:shd w:val="clear" w:color="auto" w:fill="FEFEFE"/>
              </w:rPr>
              <w:t>изследвания и проучвания, директно свързани със сътрудничеството, включително за издаване на становища</w:t>
            </w:r>
            <w:r w:rsidRPr="00FB202F">
              <w:rPr>
                <w:rFonts w:ascii="Times New Roman" w:hAnsi="Times New Roman" w:cs="Times New Roman"/>
                <w:sz w:val="24"/>
                <w:szCs w:val="24"/>
                <w:shd w:val="clear" w:color="auto" w:fill="FEFEFE"/>
              </w:rPr>
              <w:t>;</w:t>
            </w:r>
          </w:p>
          <w:p w14:paraId="6DD5B08C" w14:textId="3C31027E" w:rsidR="00A911B8" w:rsidRDefault="00A911B8"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sidRPr="00FB202F">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sidRPr="00FB202F">
              <w:rPr>
                <w:rFonts w:ascii="Times New Roman" w:hAnsi="Times New Roman" w:cs="Times New Roman"/>
                <w:sz w:val="24"/>
                <w:szCs w:val="24"/>
                <w:shd w:val="clear" w:color="auto" w:fill="FEFEFE"/>
              </w:rPr>
              <w:t>4.</w:t>
            </w:r>
            <w:r w:rsidR="00D83751">
              <w:rPr>
                <w:rFonts w:ascii="Times New Roman" w:hAnsi="Times New Roman" w:cs="Times New Roman"/>
                <w:sz w:val="24"/>
                <w:szCs w:val="24"/>
                <w:shd w:val="clear" w:color="auto" w:fill="FEFEFE"/>
              </w:rPr>
              <w:t>5</w:t>
            </w:r>
            <w:r w:rsidRPr="00FB202F">
              <w:rPr>
                <w:rFonts w:ascii="Times New Roman" w:hAnsi="Times New Roman" w:cs="Times New Roman"/>
                <w:sz w:val="24"/>
                <w:szCs w:val="24"/>
                <w:shd w:val="clear" w:color="auto" w:fill="FEFEFE"/>
              </w:rPr>
              <w:t xml:space="preserve">. </w:t>
            </w:r>
            <w:r w:rsidR="00C04467" w:rsidRPr="00C04467">
              <w:rPr>
                <w:rFonts w:ascii="Times New Roman" w:hAnsi="Times New Roman" w:cs="Times New Roman"/>
                <w:sz w:val="24"/>
                <w:szCs w:val="24"/>
                <w:shd w:val="clear" w:color="auto" w:fill="FEFEFE"/>
              </w:rPr>
              <w:t xml:space="preserve">възнаграждения за външни експерти – физически или юридически лица за </w:t>
            </w:r>
            <w:r w:rsidR="00C04467" w:rsidRPr="00C04467">
              <w:rPr>
                <w:rFonts w:ascii="Times New Roman" w:hAnsi="Times New Roman" w:cs="Times New Roman"/>
                <w:sz w:val="24"/>
                <w:szCs w:val="24"/>
                <w:shd w:val="clear" w:color="auto" w:fill="FEFEFE"/>
              </w:rPr>
              <w:lastRenderedPageBreak/>
              <w:t>изпълнение на дейности, включително за преводачи</w:t>
            </w:r>
            <w:r w:rsidR="00C04467">
              <w:rPr>
                <w:rFonts w:ascii="Times New Roman" w:hAnsi="Times New Roman" w:cs="Times New Roman"/>
                <w:sz w:val="24"/>
                <w:szCs w:val="24"/>
                <w:shd w:val="clear" w:color="auto" w:fill="FEFEFE"/>
              </w:rPr>
              <w:t>;</w:t>
            </w:r>
          </w:p>
          <w:p w14:paraId="33CFA3A3" w14:textId="3F39729E" w:rsidR="00C04467" w:rsidRDefault="00C04467"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4.</w:t>
            </w:r>
            <w:r w:rsidR="00D83751">
              <w:rPr>
                <w:rFonts w:ascii="Times New Roman" w:hAnsi="Times New Roman" w:cs="Times New Roman"/>
                <w:sz w:val="24"/>
                <w:szCs w:val="24"/>
                <w:shd w:val="clear" w:color="auto" w:fill="FEFEFE"/>
              </w:rPr>
              <w:t>6</w:t>
            </w:r>
            <w:r>
              <w:rPr>
                <w:rFonts w:ascii="Times New Roman" w:hAnsi="Times New Roman" w:cs="Times New Roman"/>
                <w:sz w:val="24"/>
                <w:szCs w:val="24"/>
                <w:shd w:val="clear" w:color="auto" w:fill="FEFEFE"/>
              </w:rPr>
              <w:t xml:space="preserve">. </w:t>
            </w:r>
            <w:r w:rsidRPr="00C04467">
              <w:rPr>
                <w:rFonts w:ascii="Times New Roman" w:hAnsi="Times New Roman" w:cs="Times New Roman"/>
                <w:sz w:val="24"/>
                <w:szCs w:val="24"/>
                <w:shd w:val="clear" w:color="auto" w:fill="FEFEFE"/>
              </w:rPr>
              <w:t xml:space="preserve">възнаграждения, свързани с координацията </w:t>
            </w:r>
            <w:r w:rsidR="0005576F">
              <w:rPr>
                <w:rFonts w:ascii="Times New Roman" w:hAnsi="Times New Roman" w:cs="Times New Roman"/>
                <w:sz w:val="24"/>
                <w:szCs w:val="24"/>
                <w:shd w:val="clear" w:color="auto" w:fill="FEFEFE"/>
              </w:rPr>
              <w:t>на планираните дейности на служители на МИГ</w:t>
            </w:r>
            <w:r>
              <w:rPr>
                <w:rFonts w:ascii="Times New Roman" w:hAnsi="Times New Roman" w:cs="Times New Roman"/>
                <w:sz w:val="24"/>
                <w:szCs w:val="24"/>
                <w:shd w:val="clear" w:color="auto" w:fill="FEFEFE"/>
              </w:rPr>
              <w:t>;</w:t>
            </w:r>
          </w:p>
          <w:p w14:paraId="29C9F3CC" w14:textId="19EEDEE2" w:rsidR="00C04467" w:rsidRDefault="00C04467"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4.</w:t>
            </w:r>
            <w:r w:rsidR="00D83751">
              <w:rPr>
                <w:rFonts w:ascii="Times New Roman" w:hAnsi="Times New Roman" w:cs="Times New Roman"/>
                <w:sz w:val="24"/>
                <w:szCs w:val="24"/>
                <w:shd w:val="clear" w:color="auto" w:fill="FEFEFE"/>
              </w:rPr>
              <w:t>7</w:t>
            </w:r>
            <w:r>
              <w:rPr>
                <w:rFonts w:ascii="Times New Roman" w:hAnsi="Times New Roman" w:cs="Times New Roman"/>
                <w:sz w:val="24"/>
                <w:szCs w:val="24"/>
                <w:shd w:val="clear" w:color="auto" w:fill="FEFEFE"/>
              </w:rPr>
              <w:t>.</w:t>
            </w:r>
            <w:r>
              <w:t xml:space="preserve"> </w:t>
            </w:r>
            <w:r w:rsidRPr="00C04467">
              <w:rPr>
                <w:rFonts w:ascii="Times New Roman" w:hAnsi="Times New Roman" w:cs="Times New Roman"/>
                <w:sz w:val="24"/>
                <w:szCs w:val="24"/>
                <w:shd w:val="clear" w:color="auto" w:fill="FEFEFE"/>
              </w:rPr>
              <w:t>промоционални и маркетингови кампании за съвместния продукт/услуга;</w:t>
            </w:r>
          </w:p>
          <w:p w14:paraId="0635FD60" w14:textId="7BE94283" w:rsidR="00C04467" w:rsidRDefault="00C04467"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4.</w:t>
            </w:r>
            <w:r w:rsidR="00D83751">
              <w:rPr>
                <w:rFonts w:ascii="Times New Roman" w:hAnsi="Times New Roman" w:cs="Times New Roman"/>
                <w:sz w:val="24"/>
                <w:szCs w:val="24"/>
                <w:shd w:val="clear" w:color="auto" w:fill="FEFEFE"/>
              </w:rPr>
              <w:t>8</w:t>
            </w:r>
            <w:r>
              <w:rPr>
                <w:rFonts w:ascii="Times New Roman" w:hAnsi="Times New Roman" w:cs="Times New Roman"/>
                <w:sz w:val="24"/>
                <w:szCs w:val="24"/>
                <w:shd w:val="clear" w:color="auto" w:fill="FEFEFE"/>
              </w:rPr>
              <w:t xml:space="preserve">. </w:t>
            </w:r>
            <w:r w:rsidRPr="00C04467">
              <w:rPr>
                <w:rFonts w:ascii="Times New Roman" w:hAnsi="Times New Roman" w:cs="Times New Roman"/>
                <w:sz w:val="24"/>
                <w:szCs w:val="24"/>
                <w:shd w:val="clear" w:color="auto" w:fill="FEFEFE"/>
              </w:rPr>
              <w:t>организиране и провеждане на обучения, семинари, съвместни събития и партньорски срещи;</w:t>
            </w:r>
          </w:p>
          <w:p w14:paraId="79FD15DD" w14:textId="3EA9A78E" w:rsidR="00C04467" w:rsidRDefault="00C04467"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4.</w:t>
            </w:r>
            <w:r w:rsidR="00D83751">
              <w:rPr>
                <w:rFonts w:ascii="Times New Roman" w:hAnsi="Times New Roman" w:cs="Times New Roman"/>
                <w:sz w:val="24"/>
                <w:szCs w:val="24"/>
                <w:shd w:val="clear" w:color="auto" w:fill="FEFEFE"/>
              </w:rPr>
              <w:t>9</w:t>
            </w:r>
            <w:r>
              <w:rPr>
                <w:rFonts w:ascii="Times New Roman" w:hAnsi="Times New Roman" w:cs="Times New Roman"/>
                <w:sz w:val="24"/>
                <w:szCs w:val="24"/>
                <w:shd w:val="clear" w:color="auto" w:fill="FEFEFE"/>
              </w:rPr>
              <w:t xml:space="preserve">. </w:t>
            </w:r>
            <w:r w:rsidRPr="00C04467">
              <w:rPr>
                <w:rFonts w:ascii="Times New Roman" w:hAnsi="Times New Roman" w:cs="Times New Roman"/>
                <w:sz w:val="24"/>
                <w:szCs w:val="24"/>
                <w:shd w:val="clear" w:color="auto" w:fill="FEFEFE"/>
              </w:rPr>
              <w:t>информираност – създаване на интернет страница за проекта, публикации в регионални медии, информационни конференции;</w:t>
            </w:r>
          </w:p>
          <w:p w14:paraId="1E7F70AD" w14:textId="0D8DD81E" w:rsidR="00C04467" w:rsidRDefault="00C04467" w:rsidP="007541D6">
            <w:pPr>
              <w:tabs>
                <w:tab w:val="left" w:pos="2030"/>
              </w:tabs>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4.1</w:t>
            </w:r>
            <w:r w:rsidR="00D83751">
              <w:rPr>
                <w:rFonts w:ascii="Times New Roman" w:hAnsi="Times New Roman" w:cs="Times New Roman"/>
                <w:sz w:val="24"/>
                <w:szCs w:val="24"/>
                <w:shd w:val="clear" w:color="auto" w:fill="FEFEFE"/>
              </w:rPr>
              <w:t>0</w:t>
            </w:r>
            <w:r>
              <w:rPr>
                <w:rFonts w:ascii="Times New Roman" w:hAnsi="Times New Roman" w:cs="Times New Roman"/>
                <w:sz w:val="24"/>
                <w:szCs w:val="24"/>
                <w:shd w:val="clear" w:color="auto" w:fill="FEFEFE"/>
              </w:rPr>
              <w:t>.</w:t>
            </w:r>
            <w:r w:rsidRPr="00F43DD7">
              <w:rPr>
                <w:rFonts w:ascii="Times New Roman" w:hAnsi="Times New Roman" w:cs="Times New Roman"/>
                <w:sz w:val="24"/>
                <w:szCs w:val="24"/>
                <w:shd w:val="clear" w:color="auto" w:fill="FEFEFE"/>
              </w:rPr>
              <w:t xml:space="preserve"> публичност – изготвяне и разпространение на информационни материали и осигуряване на публичност, в т.ч. информационни табели</w:t>
            </w:r>
            <w:r>
              <w:rPr>
                <w:rFonts w:ascii="Times New Roman" w:hAnsi="Times New Roman" w:cs="Times New Roman"/>
                <w:sz w:val="24"/>
                <w:szCs w:val="24"/>
                <w:shd w:val="clear" w:color="auto" w:fill="FEFEFE"/>
              </w:rPr>
              <w:t>;</w:t>
            </w:r>
          </w:p>
          <w:p w14:paraId="4F15A9FE" w14:textId="392DF5C8" w:rsidR="00C04467" w:rsidRDefault="00C04467"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4.</w:t>
            </w:r>
            <w:r w:rsidR="0023239B">
              <w:rPr>
                <w:rFonts w:ascii="Times New Roman" w:hAnsi="Times New Roman" w:cs="Times New Roman"/>
                <w:sz w:val="24"/>
                <w:szCs w:val="24"/>
                <w:shd w:val="clear" w:color="auto" w:fill="FEFEFE"/>
                <w:lang w:val="en-GB"/>
              </w:rPr>
              <w:t>1</w:t>
            </w:r>
            <w:r w:rsidR="00D83751">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 xml:space="preserve">. </w:t>
            </w:r>
            <w:r w:rsidRPr="00C04467">
              <w:rPr>
                <w:rFonts w:ascii="Times New Roman" w:hAnsi="Times New Roman" w:cs="Times New Roman"/>
                <w:sz w:val="24"/>
                <w:szCs w:val="24"/>
                <w:shd w:val="clear" w:color="auto" w:fill="FEFEFE"/>
              </w:rPr>
              <w:t>командировки на служителите на МИГ, експерти по проекта, включително преводачи, членове на колективния управителен орган и членове на колективния върховен орган на МИГ, както и други участници от територията в дейности, свързани с изпълнението на проекта, съгласно Наредбата за командировките в страната, приета с Постановление № 72 на Министерския съвет от 1986 г. (</w:t>
            </w:r>
            <w:proofErr w:type="spellStart"/>
            <w:r w:rsidR="00EF3DA1" w:rsidRPr="00EF3DA1">
              <w:rPr>
                <w:rFonts w:ascii="Times New Roman" w:hAnsi="Times New Roman" w:cs="Times New Roman"/>
                <w:sz w:val="24"/>
                <w:szCs w:val="24"/>
                <w:shd w:val="clear" w:color="auto" w:fill="FEFEFE"/>
              </w:rPr>
              <w:t>Обн</w:t>
            </w:r>
            <w:proofErr w:type="spellEnd"/>
            <w:r w:rsidR="00EF3DA1" w:rsidRPr="00EF3DA1">
              <w:rPr>
                <w:rFonts w:ascii="Times New Roman" w:hAnsi="Times New Roman" w:cs="Times New Roman"/>
                <w:sz w:val="24"/>
                <w:szCs w:val="24"/>
                <w:shd w:val="clear" w:color="auto" w:fill="FEFEFE"/>
              </w:rPr>
              <w:t>.,</w:t>
            </w:r>
            <w:r w:rsidR="00EF3DA1">
              <w:rPr>
                <w:rFonts w:ascii="Times New Roman" w:hAnsi="Times New Roman" w:cs="Times New Roman"/>
                <w:sz w:val="24"/>
                <w:szCs w:val="24"/>
                <w:shd w:val="clear" w:color="auto" w:fill="FEFEFE"/>
              </w:rPr>
              <w:t xml:space="preserve"> </w:t>
            </w:r>
            <w:r w:rsidRPr="00C04467">
              <w:rPr>
                <w:rFonts w:ascii="Times New Roman" w:hAnsi="Times New Roman" w:cs="Times New Roman"/>
                <w:sz w:val="24"/>
                <w:szCs w:val="24"/>
                <w:shd w:val="clear" w:color="auto" w:fill="FEFEFE"/>
              </w:rPr>
              <w:t>ДВ, бр. 11 от 1987 г.) и Наредбата за служебните командировки и специализации в чужбина, приета с Постановление № 115 на Министерския съвет от 2004 г. (</w:t>
            </w:r>
            <w:proofErr w:type="spellStart"/>
            <w:r w:rsidR="00EF3DA1" w:rsidRPr="00EF3DA1">
              <w:rPr>
                <w:rFonts w:ascii="Times New Roman" w:hAnsi="Times New Roman" w:cs="Times New Roman"/>
                <w:sz w:val="24"/>
                <w:szCs w:val="24"/>
                <w:shd w:val="clear" w:color="auto" w:fill="FEFEFE"/>
              </w:rPr>
              <w:t>Обн</w:t>
            </w:r>
            <w:proofErr w:type="spellEnd"/>
            <w:r w:rsidR="00EF3DA1" w:rsidRPr="00EF3DA1">
              <w:rPr>
                <w:rFonts w:ascii="Times New Roman" w:hAnsi="Times New Roman" w:cs="Times New Roman"/>
                <w:sz w:val="24"/>
                <w:szCs w:val="24"/>
                <w:shd w:val="clear" w:color="auto" w:fill="FEFEFE"/>
              </w:rPr>
              <w:t>.,</w:t>
            </w:r>
            <w:r w:rsidR="00EF3DA1">
              <w:rPr>
                <w:rFonts w:ascii="Times New Roman" w:hAnsi="Times New Roman" w:cs="Times New Roman"/>
                <w:sz w:val="24"/>
                <w:szCs w:val="24"/>
                <w:shd w:val="clear" w:color="auto" w:fill="FEFEFE"/>
              </w:rPr>
              <w:t xml:space="preserve"> </w:t>
            </w:r>
            <w:r w:rsidRPr="00C04467">
              <w:rPr>
                <w:rFonts w:ascii="Times New Roman" w:hAnsi="Times New Roman" w:cs="Times New Roman"/>
                <w:sz w:val="24"/>
                <w:szCs w:val="24"/>
                <w:shd w:val="clear" w:color="auto" w:fill="FEFEFE"/>
              </w:rPr>
              <w:t>ДВ, бр. 50 от 2004 г.)</w:t>
            </w:r>
            <w:r>
              <w:rPr>
                <w:rFonts w:ascii="Times New Roman" w:hAnsi="Times New Roman" w:cs="Times New Roman"/>
                <w:sz w:val="24"/>
                <w:szCs w:val="24"/>
                <w:shd w:val="clear" w:color="auto" w:fill="FEFEFE"/>
              </w:rPr>
              <w:t>;</w:t>
            </w:r>
          </w:p>
          <w:p w14:paraId="378323AD" w14:textId="03520E67" w:rsidR="00C04467" w:rsidRDefault="00C04467"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4.1</w:t>
            </w:r>
            <w:r w:rsidR="00D83751">
              <w:rPr>
                <w:rFonts w:ascii="Times New Roman" w:hAnsi="Times New Roman" w:cs="Times New Roman"/>
                <w:sz w:val="24"/>
                <w:szCs w:val="24"/>
                <w:shd w:val="clear" w:color="auto" w:fill="FEFEFE"/>
              </w:rPr>
              <w:t>2</w:t>
            </w:r>
            <w:r>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 xml:space="preserve">преводи (писмени и </w:t>
            </w:r>
            <w:proofErr w:type="spellStart"/>
            <w:r w:rsidRPr="00F43DD7">
              <w:rPr>
                <w:rFonts w:ascii="Times New Roman" w:hAnsi="Times New Roman" w:cs="Times New Roman"/>
                <w:sz w:val="24"/>
                <w:szCs w:val="24"/>
                <w:shd w:val="clear" w:color="auto" w:fill="FEFEFE"/>
              </w:rPr>
              <w:t>симултанни</w:t>
            </w:r>
            <w:proofErr w:type="spellEnd"/>
            <w:r w:rsidRPr="00F43DD7">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w:t>
            </w:r>
          </w:p>
          <w:p w14:paraId="39BFC507" w14:textId="7DFF415B" w:rsidR="00C04467" w:rsidRDefault="00C04467"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4.1</w:t>
            </w:r>
            <w:r w:rsidR="00D83751">
              <w:rPr>
                <w:rFonts w:ascii="Times New Roman" w:hAnsi="Times New Roman" w:cs="Times New Roman"/>
                <w:sz w:val="24"/>
                <w:szCs w:val="24"/>
                <w:shd w:val="clear" w:color="auto" w:fill="FEFEFE"/>
              </w:rPr>
              <w:t>3</w:t>
            </w:r>
            <w:r>
              <w:rPr>
                <w:rFonts w:ascii="Times New Roman" w:hAnsi="Times New Roman" w:cs="Times New Roman"/>
                <w:sz w:val="24"/>
                <w:szCs w:val="24"/>
                <w:shd w:val="clear" w:color="auto" w:fill="FEFEFE"/>
              </w:rPr>
              <w:t>. пощенски и куриерски услуги;</w:t>
            </w:r>
          </w:p>
          <w:p w14:paraId="67966D87" w14:textId="447B4C40" w:rsidR="00C04467" w:rsidRDefault="00C04467"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23239B">
              <w:rPr>
                <w:rFonts w:ascii="Times New Roman" w:hAnsi="Times New Roman" w:cs="Times New Roman"/>
                <w:sz w:val="24"/>
                <w:szCs w:val="24"/>
                <w:shd w:val="clear" w:color="auto" w:fill="FEFEFE"/>
                <w:lang w:val="en-GB"/>
              </w:rPr>
              <w:t>4</w:t>
            </w:r>
            <w:r>
              <w:rPr>
                <w:rFonts w:ascii="Times New Roman" w:hAnsi="Times New Roman" w:cs="Times New Roman"/>
                <w:sz w:val="24"/>
                <w:szCs w:val="24"/>
                <w:shd w:val="clear" w:color="auto" w:fill="FEFEFE"/>
              </w:rPr>
              <w:t>.</w:t>
            </w:r>
            <w:r w:rsidR="00C908B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4.1</w:t>
            </w:r>
            <w:r w:rsidR="00D83751">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w:t>
            </w:r>
            <w:r w:rsidRPr="00F43DD7">
              <w:rPr>
                <w:rFonts w:ascii="Times New Roman" w:hAnsi="Times New Roman" w:cs="Times New Roman"/>
                <w:sz w:val="24"/>
                <w:szCs w:val="24"/>
                <w:shd w:val="clear" w:color="auto" w:fill="FEFEFE"/>
              </w:rPr>
              <w:t xml:space="preserve"> такси за </w:t>
            </w:r>
            <w:r w:rsidRPr="007577CE">
              <w:rPr>
                <w:rFonts w:ascii="Times New Roman" w:hAnsi="Times New Roman" w:cs="Times New Roman"/>
                <w:sz w:val="24"/>
                <w:szCs w:val="24"/>
                <w:shd w:val="clear" w:color="auto" w:fill="FEFEFE"/>
              </w:rPr>
              <w:t>издаване на документи, свързани с изпълнението на проекта.</w:t>
            </w:r>
          </w:p>
          <w:p w14:paraId="51295D59" w14:textId="052B3470" w:rsidR="00135F4D" w:rsidRDefault="00135F4D" w:rsidP="00135F4D">
            <w:pPr>
              <w:spacing w:line="276" w:lineRule="auto"/>
              <w:ind w:firstLine="567"/>
              <w:jc w:val="both"/>
              <w:rPr>
                <w:rFonts w:ascii="Times New Roman" w:hAnsi="Times New Roman" w:cs="Times New Roman"/>
                <w:sz w:val="24"/>
                <w:szCs w:val="24"/>
                <w:shd w:val="clear" w:color="auto" w:fill="FEFEFE"/>
              </w:rPr>
            </w:pPr>
          </w:p>
          <w:p w14:paraId="659CAF2A" w14:textId="27786914" w:rsidR="00521095" w:rsidRPr="00FB202F" w:rsidRDefault="00C908B3" w:rsidP="007541D6">
            <w:pPr>
              <w:spacing w:line="276" w:lineRule="auto"/>
              <w:ind w:firstLine="567"/>
              <w:jc w:val="both"/>
              <w:rPr>
                <w:rFonts w:ascii="Times New Roman" w:hAnsi="Times New Roman" w:cs="Times New Roman"/>
                <w:b/>
                <w:sz w:val="24"/>
                <w:szCs w:val="24"/>
                <w:shd w:val="clear" w:color="auto" w:fill="FEFEFE"/>
              </w:rPr>
            </w:pPr>
            <w:r>
              <w:rPr>
                <w:rFonts w:ascii="Times New Roman" w:hAnsi="Times New Roman" w:cs="Times New Roman"/>
                <w:b/>
                <w:sz w:val="24"/>
                <w:szCs w:val="24"/>
                <w:shd w:val="clear" w:color="auto" w:fill="FEFEFE"/>
              </w:rPr>
              <w:t xml:space="preserve">14.2. </w:t>
            </w:r>
            <w:r w:rsidR="00521095" w:rsidRPr="00FB202F">
              <w:rPr>
                <w:rFonts w:ascii="Times New Roman" w:hAnsi="Times New Roman" w:cs="Times New Roman"/>
                <w:b/>
                <w:sz w:val="24"/>
                <w:szCs w:val="24"/>
                <w:shd w:val="clear" w:color="auto" w:fill="FEFEFE"/>
              </w:rPr>
              <w:t xml:space="preserve">Недопустими </w:t>
            </w:r>
            <w:r w:rsidR="00C04467">
              <w:rPr>
                <w:rFonts w:ascii="Times New Roman" w:hAnsi="Times New Roman" w:cs="Times New Roman"/>
                <w:b/>
                <w:sz w:val="24"/>
                <w:szCs w:val="24"/>
                <w:shd w:val="clear" w:color="auto" w:fill="FEFEFE"/>
              </w:rPr>
              <w:t xml:space="preserve">за подкрепа чрез стратегиите за ВОМР </w:t>
            </w:r>
            <w:r w:rsidR="00521095" w:rsidRPr="00FB202F">
              <w:rPr>
                <w:rFonts w:ascii="Times New Roman" w:hAnsi="Times New Roman" w:cs="Times New Roman"/>
                <w:b/>
                <w:sz w:val="24"/>
                <w:szCs w:val="24"/>
                <w:shd w:val="clear" w:color="auto" w:fill="FEFEFE"/>
              </w:rPr>
              <w:t>разходи</w:t>
            </w:r>
          </w:p>
          <w:p w14:paraId="283CCBFF" w14:textId="416D4DAA" w:rsidR="00521095" w:rsidRPr="00FB202F" w:rsidRDefault="00521095"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Недопустимостта на категориите разходи се определя съгласно чл. 73</w:t>
            </w:r>
            <w:r w:rsidR="004362A4">
              <w:rPr>
                <w:rFonts w:ascii="Times New Roman" w:hAnsi="Times New Roman" w:cs="Times New Roman"/>
                <w:sz w:val="24"/>
                <w:szCs w:val="24"/>
                <w:shd w:val="clear" w:color="auto" w:fill="FEFEFE"/>
                <w:lang w:val="en-GB"/>
              </w:rPr>
              <w:t xml:space="preserve"> </w:t>
            </w:r>
            <w:r w:rsidRPr="00FB202F">
              <w:rPr>
                <w:rFonts w:ascii="Times New Roman" w:hAnsi="Times New Roman" w:cs="Times New Roman"/>
                <w:sz w:val="24"/>
                <w:szCs w:val="24"/>
                <w:shd w:val="clear" w:color="auto" w:fill="FEFEFE"/>
              </w:rPr>
              <w:t>от Регламент (EC) № 2021/2115</w:t>
            </w:r>
            <w:r w:rsidR="006B6234" w:rsidRPr="00FB202F">
              <w:rPr>
                <w:rFonts w:ascii="Times New Roman" w:hAnsi="Times New Roman" w:cs="Times New Roman"/>
                <w:sz w:val="24"/>
                <w:szCs w:val="24"/>
                <w:shd w:val="clear" w:color="auto" w:fill="FEFEFE"/>
              </w:rPr>
              <w:t xml:space="preserve"> и чл. 64 от Регламент (EC) № 2021/1060</w:t>
            </w:r>
            <w:r w:rsidR="00197D8C" w:rsidRPr="00FB202F">
              <w:rPr>
                <w:rFonts w:ascii="Times New Roman" w:hAnsi="Times New Roman" w:cs="Times New Roman"/>
                <w:sz w:val="24"/>
                <w:szCs w:val="24"/>
                <w:shd w:val="clear" w:color="auto" w:fill="FEFEFE"/>
              </w:rPr>
              <w:t xml:space="preserve">, </w:t>
            </w:r>
            <w:r w:rsidRPr="00FB202F">
              <w:rPr>
                <w:rFonts w:ascii="Times New Roman" w:hAnsi="Times New Roman" w:cs="Times New Roman"/>
                <w:sz w:val="24"/>
                <w:szCs w:val="24"/>
                <w:shd w:val="clear" w:color="auto" w:fill="FEFEFE"/>
              </w:rPr>
              <w:t>глава 5 „Финансово управление и контрол“, раздел I от ЗУСЕФСУ</w:t>
            </w:r>
            <w:r w:rsidR="00197D8C" w:rsidRPr="00FB202F">
              <w:rPr>
                <w:rFonts w:ascii="Times New Roman" w:hAnsi="Times New Roman" w:cs="Times New Roman"/>
                <w:sz w:val="24"/>
                <w:szCs w:val="24"/>
                <w:shd w:val="clear" w:color="auto" w:fill="FEFEFE"/>
              </w:rPr>
              <w:t xml:space="preserve"> и</w:t>
            </w:r>
            <w:r w:rsidRPr="00FB202F">
              <w:rPr>
                <w:rFonts w:ascii="Times New Roman" w:hAnsi="Times New Roman" w:cs="Times New Roman"/>
                <w:sz w:val="24"/>
                <w:szCs w:val="24"/>
                <w:shd w:val="clear" w:color="auto" w:fill="FEFEFE"/>
              </w:rPr>
              <w:t xml:space="preserve"> ПМС № 8</w:t>
            </w:r>
            <w:r w:rsidR="00197D8C" w:rsidRPr="00FB202F">
              <w:rPr>
                <w:rFonts w:ascii="Times New Roman" w:hAnsi="Times New Roman" w:cs="Times New Roman"/>
                <w:sz w:val="24"/>
                <w:szCs w:val="24"/>
                <w:shd w:val="clear" w:color="auto" w:fill="FEFEFE"/>
              </w:rPr>
              <w:t>6</w:t>
            </w:r>
            <w:r w:rsidRPr="00FB202F">
              <w:rPr>
                <w:rFonts w:ascii="Times New Roman" w:hAnsi="Times New Roman" w:cs="Times New Roman"/>
                <w:sz w:val="24"/>
                <w:szCs w:val="24"/>
                <w:shd w:val="clear" w:color="auto" w:fill="FEFEFE"/>
              </w:rPr>
              <w:t xml:space="preserve"> от 20</w:t>
            </w:r>
            <w:r w:rsidR="00197D8C" w:rsidRPr="00FB202F">
              <w:rPr>
                <w:rFonts w:ascii="Times New Roman" w:hAnsi="Times New Roman" w:cs="Times New Roman"/>
                <w:sz w:val="24"/>
                <w:szCs w:val="24"/>
                <w:shd w:val="clear" w:color="auto" w:fill="FEFEFE"/>
              </w:rPr>
              <w:t>23</w:t>
            </w:r>
            <w:r w:rsidRPr="00FB202F">
              <w:rPr>
                <w:rFonts w:ascii="Times New Roman" w:hAnsi="Times New Roman" w:cs="Times New Roman"/>
                <w:sz w:val="24"/>
                <w:szCs w:val="24"/>
                <w:shd w:val="clear" w:color="auto" w:fill="FEFEFE"/>
              </w:rPr>
              <w:t xml:space="preserve"> г.</w:t>
            </w:r>
          </w:p>
          <w:p w14:paraId="7D3968EC" w14:textId="640FC6A7" w:rsidR="00521095" w:rsidRPr="00FB202F" w:rsidRDefault="00EF34D0"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14.2.1. </w:t>
            </w:r>
            <w:r w:rsidR="00C04467">
              <w:rPr>
                <w:rFonts w:ascii="Times New Roman" w:hAnsi="Times New Roman" w:cs="Times New Roman"/>
                <w:sz w:val="24"/>
                <w:szCs w:val="24"/>
                <w:shd w:val="clear" w:color="auto" w:fill="FEFEFE"/>
              </w:rPr>
              <w:t>Н</w:t>
            </w:r>
            <w:r w:rsidR="00521095" w:rsidRPr="00FB202F">
              <w:rPr>
                <w:rFonts w:ascii="Times New Roman" w:hAnsi="Times New Roman" w:cs="Times New Roman"/>
                <w:sz w:val="24"/>
                <w:szCs w:val="24"/>
                <w:shd w:val="clear" w:color="auto" w:fill="FEFEFE"/>
              </w:rPr>
              <w:t xml:space="preserve">е са допустими за финансиране </w:t>
            </w:r>
            <w:r w:rsidR="0080428A">
              <w:rPr>
                <w:rFonts w:ascii="Times New Roman" w:hAnsi="Times New Roman" w:cs="Times New Roman"/>
                <w:sz w:val="24"/>
                <w:szCs w:val="24"/>
                <w:shd w:val="clear" w:color="auto" w:fill="FEFEFE"/>
              </w:rPr>
              <w:t xml:space="preserve">по </w:t>
            </w:r>
            <w:r>
              <w:rPr>
                <w:rFonts w:ascii="Times New Roman" w:hAnsi="Times New Roman" w:cs="Times New Roman"/>
                <w:sz w:val="24"/>
                <w:szCs w:val="24"/>
                <w:shd w:val="clear" w:color="auto" w:fill="FEFEFE"/>
              </w:rPr>
              <w:t xml:space="preserve">проекти </w:t>
            </w:r>
            <w:r w:rsidR="0080428A">
              <w:rPr>
                <w:rFonts w:ascii="Times New Roman" w:hAnsi="Times New Roman" w:cs="Times New Roman"/>
                <w:sz w:val="24"/>
                <w:szCs w:val="24"/>
                <w:shd w:val="clear" w:color="auto" w:fill="FEFEFE"/>
              </w:rPr>
              <w:t>от</w:t>
            </w:r>
            <w:r>
              <w:rPr>
                <w:rFonts w:ascii="Times New Roman" w:hAnsi="Times New Roman" w:cs="Times New Roman"/>
                <w:sz w:val="24"/>
                <w:szCs w:val="24"/>
                <w:shd w:val="clear" w:color="auto" w:fill="FEFEFE"/>
              </w:rPr>
              <w:t xml:space="preserve"> стратегиите за ВОМР </w:t>
            </w:r>
            <w:r w:rsidR="00521095" w:rsidRPr="00FB202F">
              <w:rPr>
                <w:rFonts w:ascii="Times New Roman" w:hAnsi="Times New Roman" w:cs="Times New Roman"/>
                <w:sz w:val="24"/>
                <w:szCs w:val="24"/>
                <w:shd w:val="clear" w:color="auto" w:fill="FEFEFE"/>
              </w:rPr>
              <w:t>разходи за:</w:t>
            </w:r>
          </w:p>
          <w:p w14:paraId="4DA7FC39" w14:textId="77777777" w:rsidR="00197D8C" w:rsidRPr="00FB202F" w:rsidRDefault="00197D8C"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 закупуване на права за селскостопанска продукция и закупуване на права за получаване на плащане;</w:t>
            </w:r>
          </w:p>
          <w:p w14:paraId="4083FE8F" w14:textId="32D2516B" w:rsidR="00197D8C" w:rsidRPr="00FB202F" w:rsidRDefault="00197D8C"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2.</w:t>
            </w:r>
            <w:r w:rsidR="00DC5189">
              <w:rPr>
                <w:rFonts w:ascii="Times New Roman" w:hAnsi="Times New Roman" w:cs="Times New Roman"/>
                <w:sz w:val="24"/>
                <w:szCs w:val="24"/>
                <w:shd w:val="clear" w:color="auto" w:fill="FEFEFE"/>
              </w:rPr>
              <w:t xml:space="preserve"> </w:t>
            </w:r>
            <w:r w:rsidRPr="00FB202F">
              <w:rPr>
                <w:rFonts w:ascii="Times New Roman" w:hAnsi="Times New Roman" w:cs="Times New Roman"/>
                <w:sz w:val="24"/>
                <w:szCs w:val="24"/>
                <w:shd w:val="clear" w:color="auto" w:fill="FEFEFE"/>
              </w:rPr>
              <w:t>закупуване на земя на стойност над 10 % от общите допустими разходи за съответната операция, с изключение на закупуване на земя с цел опазване на околната среда и опазване на богатите на въглерод почви, или закупуване на земя от млади земеделски стопани чрез използване на финансови инструменти; при финансовите инструменти този таван се прилага за допустимите публични разходи, изплащани на крайния получател или, в случай на гаранции — до размера на базовия заем;</w:t>
            </w:r>
          </w:p>
          <w:p w14:paraId="22C99B5A" w14:textId="594780BC" w:rsidR="00197D8C" w:rsidRPr="00FB202F" w:rsidRDefault="00197D8C"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3.</w:t>
            </w:r>
            <w:r w:rsidR="00EE097B">
              <w:rPr>
                <w:rFonts w:ascii="Times New Roman" w:hAnsi="Times New Roman" w:cs="Times New Roman"/>
                <w:sz w:val="24"/>
                <w:szCs w:val="24"/>
                <w:shd w:val="clear" w:color="auto" w:fill="FEFEFE"/>
              </w:rPr>
              <w:t xml:space="preserve"> </w:t>
            </w:r>
            <w:r w:rsidRPr="00FB202F">
              <w:rPr>
                <w:rFonts w:ascii="Times New Roman" w:hAnsi="Times New Roman" w:cs="Times New Roman"/>
                <w:sz w:val="24"/>
                <w:szCs w:val="24"/>
                <w:shd w:val="clear" w:color="auto" w:fill="FEFEFE"/>
              </w:rPr>
              <w:t>закупуване на животни и закупуване на едногодишни растения и тяхното засаждане с цел, различна от:</w:t>
            </w:r>
          </w:p>
          <w:p w14:paraId="2B5998A6" w14:textId="27229174" w:rsidR="00197D8C" w:rsidRPr="00FB202F" w:rsidRDefault="00197D8C"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w:t>
            </w:r>
            <w:r w:rsidR="00EE097B">
              <w:rPr>
                <w:rFonts w:ascii="Times New Roman" w:hAnsi="Times New Roman" w:cs="Times New Roman"/>
                <w:sz w:val="24"/>
                <w:szCs w:val="24"/>
                <w:shd w:val="clear" w:color="auto" w:fill="FEFEFE"/>
              </w:rPr>
              <w:t xml:space="preserve"> </w:t>
            </w:r>
            <w:r w:rsidRPr="00FB202F">
              <w:rPr>
                <w:rFonts w:ascii="Times New Roman" w:hAnsi="Times New Roman" w:cs="Times New Roman"/>
                <w:sz w:val="24"/>
                <w:szCs w:val="24"/>
                <w:shd w:val="clear" w:color="auto" w:fill="FEFEFE"/>
              </w:rPr>
              <w:t>възстановяване на земеделския или горския потенциал след природни бедствия, неблагоприятни климатични явления или катастрофално събитие;</w:t>
            </w:r>
          </w:p>
          <w:p w14:paraId="2741E0B0" w14:textId="7432CADB" w:rsidR="00197D8C" w:rsidRPr="00FB202F" w:rsidRDefault="00197D8C"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w:t>
            </w:r>
            <w:r w:rsidR="00EE097B">
              <w:rPr>
                <w:rFonts w:ascii="Times New Roman" w:hAnsi="Times New Roman" w:cs="Times New Roman"/>
                <w:sz w:val="24"/>
                <w:szCs w:val="24"/>
                <w:shd w:val="clear" w:color="auto" w:fill="FEFEFE"/>
              </w:rPr>
              <w:t xml:space="preserve"> </w:t>
            </w:r>
            <w:r w:rsidRPr="00FB202F">
              <w:rPr>
                <w:rFonts w:ascii="Times New Roman" w:hAnsi="Times New Roman" w:cs="Times New Roman"/>
                <w:sz w:val="24"/>
                <w:szCs w:val="24"/>
                <w:shd w:val="clear" w:color="auto" w:fill="FEFEFE"/>
              </w:rPr>
              <w:t>предпазване на селскостопанските животни от големи хищници или от използването им в горското стопанство вместо машини;</w:t>
            </w:r>
          </w:p>
          <w:p w14:paraId="25558540" w14:textId="5B9D2AD8" w:rsidR="00197D8C" w:rsidRPr="00FB202F" w:rsidRDefault="00197D8C"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w:t>
            </w:r>
            <w:r w:rsidR="00EE097B">
              <w:rPr>
                <w:rFonts w:ascii="Times New Roman" w:hAnsi="Times New Roman" w:cs="Times New Roman"/>
                <w:sz w:val="24"/>
                <w:szCs w:val="24"/>
                <w:shd w:val="clear" w:color="auto" w:fill="FEFEFE"/>
              </w:rPr>
              <w:t xml:space="preserve"> </w:t>
            </w:r>
            <w:r w:rsidRPr="00FB202F">
              <w:rPr>
                <w:rFonts w:ascii="Times New Roman" w:hAnsi="Times New Roman" w:cs="Times New Roman"/>
                <w:sz w:val="24"/>
                <w:szCs w:val="24"/>
                <w:shd w:val="clear" w:color="auto" w:fill="FEFEFE"/>
              </w:rPr>
              <w:t xml:space="preserve">отглеждане на застрашени породи съгласно определението в член 2, точка 24 от Регламент (ЕС) 2016/1012 на Европейския парламент и на Съвета (45) в рамките на </w:t>
            </w:r>
            <w:r w:rsidRPr="00FB202F">
              <w:rPr>
                <w:rFonts w:ascii="Times New Roman" w:hAnsi="Times New Roman" w:cs="Times New Roman"/>
                <w:sz w:val="24"/>
                <w:szCs w:val="24"/>
                <w:shd w:val="clear" w:color="auto" w:fill="FEFEFE"/>
              </w:rPr>
              <w:lastRenderedPageBreak/>
              <w:t>задълженията, посочени в член 70; или</w:t>
            </w:r>
          </w:p>
          <w:p w14:paraId="5CE59C66" w14:textId="378180E7" w:rsidR="00197D8C" w:rsidRPr="00FB202F" w:rsidRDefault="00197D8C"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w:t>
            </w:r>
            <w:r w:rsidR="00EE097B">
              <w:rPr>
                <w:rFonts w:ascii="Times New Roman" w:hAnsi="Times New Roman" w:cs="Times New Roman"/>
                <w:sz w:val="24"/>
                <w:szCs w:val="24"/>
                <w:shd w:val="clear" w:color="auto" w:fill="FEFEFE"/>
              </w:rPr>
              <w:t xml:space="preserve"> </w:t>
            </w:r>
            <w:r w:rsidRPr="00FB202F">
              <w:rPr>
                <w:rFonts w:ascii="Times New Roman" w:hAnsi="Times New Roman" w:cs="Times New Roman"/>
                <w:sz w:val="24"/>
                <w:szCs w:val="24"/>
                <w:shd w:val="clear" w:color="auto" w:fill="FEFEFE"/>
              </w:rPr>
              <w:t>опазване на сортове растения, застрашени от генетична ерозия, в рамките на задълженията, посочени в член 70;</w:t>
            </w:r>
          </w:p>
          <w:p w14:paraId="7C53DCED" w14:textId="7E3AEEFD" w:rsidR="00197D8C" w:rsidRPr="00FB202F" w:rsidRDefault="00197D8C"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4.</w:t>
            </w:r>
            <w:r w:rsidR="00EE097B">
              <w:rPr>
                <w:rFonts w:ascii="Times New Roman" w:hAnsi="Times New Roman" w:cs="Times New Roman"/>
                <w:sz w:val="24"/>
                <w:szCs w:val="24"/>
                <w:shd w:val="clear" w:color="auto" w:fill="FEFEFE"/>
              </w:rPr>
              <w:t xml:space="preserve"> </w:t>
            </w:r>
            <w:r w:rsidRPr="00FB202F">
              <w:rPr>
                <w:rFonts w:ascii="Times New Roman" w:hAnsi="Times New Roman" w:cs="Times New Roman"/>
                <w:sz w:val="24"/>
                <w:szCs w:val="24"/>
                <w:shd w:val="clear" w:color="auto" w:fill="FEFEFE"/>
              </w:rPr>
              <w:t>лихви по дългове, с изключение на свързани с безвъзмездни средства, отпуснати под формата на лихвени субсидии или субсидии за гаранционни такси;</w:t>
            </w:r>
          </w:p>
          <w:p w14:paraId="384F6835" w14:textId="4A240830" w:rsidR="00197D8C" w:rsidRPr="00FB202F" w:rsidRDefault="00197D8C"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5. инвестиции в </w:t>
            </w:r>
            <w:proofErr w:type="spellStart"/>
            <w:r w:rsidRPr="00FB202F">
              <w:rPr>
                <w:rFonts w:ascii="Times New Roman" w:hAnsi="Times New Roman" w:cs="Times New Roman"/>
                <w:sz w:val="24"/>
                <w:szCs w:val="24"/>
                <w:shd w:val="clear" w:color="auto" w:fill="FEFEFE"/>
              </w:rPr>
              <w:t>широкомащабна</w:t>
            </w:r>
            <w:proofErr w:type="spellEnd"/>
            <w:r w:rsidRPr="00FB202F">
              <w:rPr>
                <w:rFonts w:ascii="Times New Roman" w:hAnsi="Times New Roman" w:cs="Times New Roman"/>
                <w:sz w:val="24"/>
                <w:szCs w:val="24"/>
                <w:shd w:val="clear" w:color="auto" w:fill="FEFEFE"/>
              </w:rPr>
              <w:t xml:space="preserve"> инфраструктура, както е определена от държавите членки в стратегическите им планове по ОСП, която не е част от стратегиите за </w:t>
            </w:r>
            <w:r w:rsidR="00DC5189">
              <w:rPr>
                <w:rFonts w:ascii="Times New Roman" w:hAnsi="Times New Roman" w:cs="Times New Roman"/>
                <w:sz w:val="24"/>
                <w:szCs w:val="24"/>
                <w:shd w:val="clear" w:color="auto" w:fill="FEFEFE"/>
              </w:rPr>
              <w:t>В</w:t>
            </w:r>
            <w:r w:rsidRPr="00FB202F">
              <w:rPr>
                <w:rFonts w:ascii="Times New Roman" w:hAnsi="Times New Roman" w:cs="Times New Roman"/>
                <w:sz w:val="24"/>
                <w:szCs w:val="24"/>
                <w:shd w:val="clear" w:color="auto" w:fill="FEFEFE"/>
              </w:rPr>
              <w:t>одено от общностите местно развитие, установени в член 32 от Регламент (ЕС) 2021/1060, с изключение на инвестиции в широколентова инфраструктура и превантивни действия за защита от наводнения или защита на бреговете с оглед на ограничаване на последиците от възможни природни бедствия, неблагоприятни климатични явления или катастрофални събития;</w:t>
            </w:r>
          </w:p>
          <w:p w14:paraId="595D99AF" w14:textId="2D84EA50" w:rsidR="00197D8C" w:rsidRPr="0060581B" w:rsidRDefault="00197D8C" w:rsidP="007541D6">
            <w:pPr>
              <w:spacing w:line="276" w:lineRule="auto"/>
              <w:ind w:firstLine="567"/>
              <w:jc w:val="both"/>
              <w:rPr>
                <w:rFonts w:ascii="Times New Roman" w:hAnsi="Times New Roman" w:cs="Times New Roman"/>
                <w:sz w:val="24"/>
                <w:szCs w:val="24"/>
                <w:shd w:val="clear" w:color="auto" w:fill="FEFEFE"/>
                <w:lang w:val="en-GB"/>
              </w:rPr>
            </w:pPr>
            <w:r w:rsidRPr="00FB202F">
              <w:rPr>
                <w:rFonts w:ascii="Times New Roman" w:hAnsi="Times New Roman" w:cs="Times New Roman"/>
                <w:sz w:val="24"/>
                <w:szCs w:val="24"/>
                <w:shd w:val="clear" w:color="auto" w:fill="FEFEFE"/>
              </w:rPr>
              <w:t>6.</w:t>
            </w:r>
            <w:r w:rsidR="00591A82">
              <w:rPr>
                <w:rFonts w:ascii="Times New Roman" w:hAnsi="Times New Roman" w:cs="Times New Roman"/>
                <w:sz w:val="24"/>
                <w:szCs w:val="24"/>
                <w:shd w:val="clear" w:color="auto" w:fill="FEFEFE"/>
                <w:lang w:val="en-GB"/>
              </w:rPr>
              <w:t xml:space="preserve"> </w:t>
            </w:r>
            <w:r w:rsidRPr="00FB202F">
              <w:rPr>
                <w:rFonts w:ascii="Times New Roman" w:hAnsi="Times New Roman" w:cs="Times New Roman"/>
                <w:sz w:val="24"/>
                <w:szCs w:val="24"/>
                <w:shd w:val="clear" w:color="auto" w:fill="FEFEFE"/>
              </w:rPr>
              <w:t>инвестиции в залесяване, които не са съвместими с целите, свързани с околната среда и климата, в съответствие с принципите за устойчиво управление на горите, разработени в общоевропейските насоки за залесяване и повторно залесяване</w:t>
            </w:r>
            <w:r w:rsidR="008B3FE7">
              <w:rPr>
                <w:rFonts w:ascii="Times New Roman" w:hAnsi="Times New Roman" w:cs="Times New Roman"/>
                <w:sz w:val="24"/>
                <w:szCs w:val="24"/>
                <w:shd w:val="clear" w:color="auto" w:fill="FEFEFE"/>
              </w:rPr>
              <w:t>;</w:t>
            </w:r>
          </w:p>
          <w:p w14:paraId="76DDC602" w14:textId="0E3E0E6B" w:rsidR="00197D8C" w:rsidRPr="0060581B" w:rsidRDefault="00197D8C" w:rsidP="007541D6">
            <w:pPr>
              <w:spacing w:line="276" w:lineRule="auto"/>
              <w:ind w:firstLine="567"/>
              <w:jc w:val="both"/>
              <w:rPr>
                <w:rFonts w:ascii="Times New Roman" w:hAnsi="Times New Roman" w:cs="Times New Roman"/>
                <w:sz w:val="24"/>
                <w:szCs w:val="24"/>
                <w:shd w:val="clear" w:color="auto" w:fill="FEFEFE"/>
                <w:lang w:val="en-GB"/>
              </w:rPr>
            </w:pPr>
            <w:r w:rsidRPr="00FB202F">
              <w:rPr>
                <w:rFonts w:ascii="Times New Roman" w:hAnsi="Times New Roman" w:cs="Times New Roman"/>
                <w:sz w:val="24"/>
                <w:szCs w:val="24"/>
                <w:shd w:val="clear" w:color="auto" w:fill="FEFEFE"/>
              </w:rPr>
              <w:t>7. инвестиции и дейности, които не са в съответствие с мерките и условията, посочени в становището за екологична оценка на С</w:t>
            </w:r>
            <w:r w:rsidR="00DC5189">
              <w:rPr>
                <w:rFonts w:ascii="Times New Roman" w:hAnsi="Times New Roman" w:cs="Times New Roman"/>
                <w:sz w:val="24"/>
                <w:szCs w:val="24"/>
                <w:shd w:val="clear" w:color="auto" w:fill="FEFEFE"/>
              </w:rPr>
              <w:t>ПРЗСР;</w:t>
            </w:r>
          </w:p>
          <w:p w14:paraId="35022919" w14:textId="2E24CF2A" w:rsidR="00197D8C" w:rsidRPr="0060581B" w:rsidRDefault="00197D8C" w:rsidP="007541D6">
            <w:pPr>
              <w:spacing w:line="276" w:lineRule="auto"/>
              <w:ind w:firstLine="567"/>
              <w:jc w:val="both"/>
              <w:rPr>
                <w:rFonts w:ascii="Times New Roman" w:hAnsi="Times New Roman" w:cs="Times New Roman"/>
                <w:sz w:val="24"/>
                <w:szCs w:val="24"/>
                <w:shd w:val="clear" w:color="auto" w:fill="FEFEFE"/>
                <w:lang w:val="en-GB"/>
              </w:rPr>
            </w:pPr>
            <w:r w:rsidRPr="00FB202F">
              <w:rPr>
                <w:rFonts w:ascii="Times New Roman" w:hAnsi="Times New Roman" w:cs="Times New Roman"/>
                <w:sz w:val="24"/>
                <w:szCs w:val="24"/>
                <w:shd w:val="clear" w:color="auto" w:fill="FEFEFE"/>
              </w:rPr>
              <w:t xml:space="preserve">8. </w:t>
            </w:r>
            <w:r w:rsidR="0080428A">
              <w:rPr>
                <w:rFonts w:ascii="Times New Roman" w:hAnsi="Times New Roman" w:cs="Times New Roman"/>
                <w:sz w:val="24"/>
                <w:szCs w:val="24"/>
                <w:shd w:val="clear" w:color="auto" w:fill="FEFEFE"/>
              </w:rPr>
              <w:t xml:space="preserve">инвестиции и дейности, за които не е налице акт на </w:t>
            </w:r>
            <w:r w:rsidRPr="00FB202F">
              <w:rPr>
                <w:rFonts w:ascii="Times New Roman" w:hAnsi="Times New Roman" w:cs="Times New Roman"/>
                <w:sz w:val="24"/>
                <w:szCs w:val="24"/>
                <w:shd w:val="clear" w:color="auto" w:fill="FEFEFE"/>
              </w:rPr>
              <w:t xml:space="preserve">компетентните органи по околна среда по реда и условията на глава шеста от </w:t>
            </w:r>
            <w:r w:rsidR="0080428A" w:rsidRPr="0080428A">
              <w:rPr>
                <w:rFonts w:ascii="Times New Roman" w:hAnsi="Times New Roman" w:cs="Times New Roman"/>
                <w:sz w:val="24"/>
                <w:szCs w:val="24"/>
                <w:shd w:val="clear" w:color="auto" w:fill="FEFEFE"/>
              </w:rPr>
              <w:t>Закона за опазване на околната среда и/или чл. 31 на Закона за биологичното разнообразия и при съобразяване с условията и мерките в съответния акт</w:t>
            </w:r>
            <w:r w:rsidR="008B3FE7">
              <w:rPr>
                <w:rFonts w:ascii="Times New Roman" w:hAnsi="Times New Roman" w:cs="Times New Roman"/>
                <w:sz w:val="24"/>
                <w:szCs w:val="24"/>
                <w:shd w:val="clear" w:color="auto" w:fill="FEFEFE"/>
              </w:rPr>
              <w:t>;</w:t>
            </w:r>
          </w:p>
          <w:p w14:paraId="4705EEFA" w14:textId="552C57A5" w:rsidR="00197D8C" w:rsidRPr="00FB202F" w:rsidRDefault="00591A8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GB"/>
              </w:rPr>
              <w:t>9</w:t>
            </w:r>
            <w:r w:rsidR="00197D8C" w:rsidRPr="00FB202F">
              <w:rPr>
                <w:rFonts w:ascii="Times New Roman" w:hAnsi="Times New Roman" w:cs="Times New Roman"/>
                <w:sz w:val="24"/>
                <w:szCs w:val="24"/>
                <w:shd w:val="clear" w:color="auto" w:fill="FEFEFE"/>
              </w:rPr>
              <w:t>. закупуване и/или инсталиране на оборудване, машини и съоръжения втора употреба;</w:t>
            </w:r>
          </w:p>
          <w:p w14:paraId="49ADC7A2" w14:textId="212B4988" w:rsidR="00197D8C" w:rsidRPr="00FB202F" w:rsidRDefault="00591A82" w:rsidP="00044F85">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GB"/>
              </w:rPr>
              <w:t>10</w:t>
            </w:r>
            <w:r w:rsidR="00197D8C" w:rsidRPr="00FB202F">
              <w:rPr>
                <w:rFonts w:ascii="Times New Roman" w:hAnsi="Times New Roman" w:cs="Times New Roman"/>
                <w:sz w:val="24"/>
                <w:szCs w:val="24"/>
                <w:shd w:val="clear" w:color="auto" w:fill="FEFEFE"/>
              </w:rPr>
              <w:t>. закупуване на лизинг на недвижима собственост;</w:t>
            </w:r>
          </w:p>
          <w:p w14:paraId="2AD07163" w14:textId="14B0B229" w:rsidR="00197D8C" w:rsidRPr="00FB202F" w:rsidRDefault="00591A8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GB"/>
              </w:rPr>
              <w:t>11</w:t>
            </w:r>
            <w:r w:rsidR="00197D8C" w:rsidRPr="00FB202F">
              <w:rPr>
                <w:rFonts w:ascii="Times New Roman" w:hAnsi="Times New Roman" w:cs="Times New Roman"/>
                <w:sz w:val="24"/>
                <w:szCs w:val="24"/>
                <w:shd w:val="clear" w:color="auto" w:fill="FEFEFE"/>
              </w:rPr>
              <w:t>. данък върху добавена стойност (ДДС), с изключение на невъзстановим ДДС, когато е поет действително и окончателно от кандидатите;</w:t>
            </w:r>
          </w:p>
          <w:p w14:paraId="199AAD26" w14:textId="14D2DF0C" w:rsidR="00197D8C" w:rsidRPr="00FB202F" w:rsidRDefault="00591A8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GB"/>
              </w:rPr>
              <w:t>12</w:t>
            </w:r>
            <w:r w:rsidR="00197D8C" w:rsidRPr="00FB202F">
              <w:rPr>
                <w:rFonts w:ascii="Times New Roman" w:hAnsi="Times New Roman" w:cs="Times New Roman"/>
                <w:sz w:val="24"/>
                <w:szCs w:val="24"/>
                <w:shd w:val="clear" w:color="auto" w:fill="FEFEFE"/>
              </w:rPr>
              <w:t xml:space="preserve">. </w:t>
            </w:r>
            <w:r w:rsidR="00EE097B">
              <w:rPr>
                <w:rFonts w:ascii="Times New Roman" w:hAnsi="Times New Roman" w:cs="Times New Roman"/>
                <w:sz w:val="24"/>
                <w:szCs w:val="24"/>
                <w:shd w:val="clear" w:color="auto" w:fill="FEFEFE"/>
              </w:rPr>
              <w:t>о</w:t>
            </w:r>
            <w:r w:rsidR="00197D8C" w:rsidRPr="00FB202F">
              <w:rPr>
                <w:rFonts w:ascii="Times New Roman" w:hAnsi="Times New Roman" w:cs="Times New Roman"/>
                <w:sz w:val="24"/>
                <w:szCs w:val="24"/>
                <w:shd w:val="clear" w:color="auto" w:fill="FEFEFE"/>
              </w:rPr>
              <w:t xml:space="preserve">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00197D8C" w:rsidRPr="00FB202F">
              <w:rPr>
                <w:rFonts w:ascii="Times New Roman" w:hAnsi="Times New Roman" w:cs="Times New Roman"/>
                <w:sz w:val="24"/>
                <w:szCs w:val="24"/>
                <w:shd w:val="clear" w:color="auto" w:fill="FEFEFE"/>
              </w:rPr>
              <w:t>лизингодателя</w:t>
            </w:r>
            <w:proofErr w:type="spellEnd"/>
            <w:r w:rsidR="00197D8C" w:rsidRPr="00FB202F">
              <w:rPr>
                <w:rFonts w:ascii="Times New Roman" w:hAnsi="Times New Roman" w:cs="Times New Roman"/>
                <w:sz w:val="24"/>
                <w:szCs w:val="24"/>
                <w:shd w:val="clear" w:color="auto" w:fill="FEFEFE"/>
              </w:rPr>
              <w:t>, разходи за лихви, разходи за неустойки и такси, режийни разходи;</w:t>
            </w:r>
          </w:p>
          <w:p w14:paraId="5DF13789" w14:textId="59AF9ADF" w:rsidR="00197D8C" w:rsidRPr="0060581B" w:rsidRDefault="00591A82" w:rsidP="007541D6">
            <w:pPr>
              <w:spacing w:line="276" w:lineRule="auto"/>
              <w:ind w:firstLine="567"/>
              <w:jc w:val="both"/>
              <w:rPr>
                <w:rFonts w:ascii="Times New Roman" w:hAnsi="Times New Roman" w:cs="Times New Roman"/>
                <w:sz w:val="24"/>
                <w:szCs w:val="24"/>
                <w:shd w:val="clear" w:color="auto" w:fill="FEFEFE"/>
                <w:lang w:val="en-GB"/>
              </w:rPr>
            </w:pPr>
            <w:r>
              <w:rPr>
                <w:rFonts w:ascii="Times New Roman" w:hAnsi="Times New Roman" w:cs="Times New Roman"/>
                <w:sz w:val="24"/>
                <w:szCs w:val="24"/>
                <w:shd w:val="clear" w:color="auto" w:fill="FEFEFE"/>
                <w:lang w:val="en-GB"/>
              </w:rPr>
              <w:t>13</w:t>
            </w:r>
            <w:r w:rsidR="00197D8C" w:rsidRPr="00FB202F">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lang w:val="en-GB"/>
              </w:rPr>
              <w:t xml:space="preserve"> </w:t>
            </w:r>
            <w:r w:rsidR="00197D8C" w:rsidRPr="00FB202F">
              <w:rPr>
                <w:rFonts w:ascii="Times New Roman" w:hAnsi="Times New Roman" w:cs="Times New Roman"/>
                <w:sz w:val="24"/>
                <w:szCs w:val="24"/>
                <w:shd w:val="clear" w:color="auto" w:fill="FEFEFE"/>
              </w:rPr>
              <w:t>банкови такси, разходи за гаранции, изплащане и рефинансиране на лихви</w:t>
            </w:r>
            <w:r w:rsidR="00012009">
              <w:rPr>
                <w:rFonts w:ascii="Times New Roman" w:hAnsi="Times New Roman" w:cs="Times New Roman"/>
                <w:sz w:val="24"/>
                <w:szCs w:val="24"/>
                <w:shd w:val="clear" w:color="auto" w:fill="FEFEFE"/>
              </w:rPr>
              <w:t>;</w:t>
            </w:r>
          </w:p>
          <w:p w14:paraId="09EC6D79" w14:textId="40D53DE5" w:rsidR="00197D8C" w:rsidRPr="00FB202F" w:rsidRDefault="00591A8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GB"/>
              </w:rPr>
              <w:t>14</w:t>
            </w:r>
            <w:r w:rsidR="00197D8C" w:rsidRPr="00FB202F">
              <w:rPr>
                <w:rFonts w:ascii="Times New Roman" w:hAnsi="Times New Roman" w:cs="Times New Roman"/>
                <w:sz w:val="24"/>
                <w:szCs w:val="24"/>
                <w:shd w:val="clear" w:color="auto" w:fill="FEFEFE"/>
              </w:rPr>
              <w:t>. принос в натура</w:t>
            </w:r>
            <w:r w:rsidR="00012009">
              <w:rPr>
                <w:rFonts w:ascii="Times New Roman" w:hAnsi="Times New Roman" w:cs="Times New Roman"/>
                <w:sz w:val="24"/>
                <w:szCs w:val="24"/>
                <w:shd w:val="clear" w:color="auto" w:fill="FEFEFE"/>
              </w:rPr>
              <w:t>;</w:t>
            </w:r>
          </w:p>
          <w:p w14:paraId="4E30613F" w14:textId="4FB44EB6" w:rsidR="00197D8C" w:rsidRPr="00FB202F" w:rsidRDefault="00591A82" w:rsidP="00044F85">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GB"/>
              </w:rPr>
              <w:t>15</w:t>
            </w:r>
            <w:r w:rsidR="00197D8C" w:rsidRPr="00FB202F">
              <w:rPr>
                <w:rFonts w:ascii="Times New Roman" w:hAnsi="Times New Roman" w:cs="Times New Roman"/>
                <w:sz w:val="24"/>
                <w:szCs w:val="24"/>
                <w:shd w:val="clear" w:color="auto" w:fill="FEFEFE"/>
              </w:rPr>
              <w:t>. изследвания за разработване на нови продукти, процеси и технологии</w:t>
            </w:r>
            <w:r w:rsidR="00012009">
              <w:rPr>
                <w:rFonts w:ascii="Times New Roman" w:hAnsi="Times New Roman" w:cs="Times New Roman"/>
                <w:sz w:val="24"/>
                <w:szCs w:val="24"/>
                <w:shd w:val="clear" w:color="auto" w:fill="FEFEFE"/>
              </w:rPr>
              <w:t>;</w:t>
            </w:r>
          </w:p>
          <w:p w14:paraId="310F80C2" w14:textId="533C71C2" w:rsidR="00197D8C" w:rsidRPr="00FB202F" w:rsidRDefault="00591A8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GB"/>
              </w:rPr>
              <w:t>16</w:t>
            </w:r>
            <w:r w:rsidR="00197D8C" w:rsidRPr="00FB202F">
              <w:rPr>
                <w:rFonts w:ascii="Times New Roman" w:hAnsi="Times New Roman" w:cs="Times New Roman"/>
                <w:sz w:val="24"/>
                <w:szCs w:val="24"/>
                <w:shd w:val="clear" w:color="auto" w:fill="FEFEFE"/>
              </w:rPr>
              <w:t>. търговия на дребно, с изключение на интервенциите, за които е допустимо предоставянето на подкрепа за този тип дейност;</w:t>
            </w:r>
          </w:p>
          <w:p w14:paraId="3ACB6845" w14:textId="50E510EB" w:rsidR="00197D8C" w:rsidRPr="00FB202F" w:rsidRDefault="00591A8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GB"/>
              </w:rPr>
              <w:t>17</w:t>
            </w:r>
            <w:r w:rsidR="00197D8C" w:rsidRPr="00FB202F">
              <w:rPr>
                <w:rFonts w:ascii="Times New Roman" w:hAnsi="Times New Roman" w:cs="Times New Roman"/>
                <w:sz w:val="24"/>
                <w:szCs w:val="24"/>
                <w:shd w:val="clear" w:color="auto" w:fill="FEFEFE"/>
              </w:rPr>
              <w:t>. закупуване, включително чрез финансов лизинг, на нови машини и оборудване, включително компютърен софтуер, за частта над пазарната им стойност</w:t>
            </w:r>
            <w:r w:rsidR="00012009">
              <w:rPr>
                <w:rFonts w:ascii="Times New Roman" w:hAnsi="Times New Roman" w:cs="Times New Roman"/>
                <w:sz w:val="24"/>
                <w:szCs w:val="24"/>
                <w:shd w:val="clear" w:color="auto" w:fill="FEFEFE"/>
              </w:rPr>
              <w:t>;</w:t>
            </w:r>
          </w:p>
          <w:p w14:paraId="286BF815" w14:textId="7EC6E15B" w:rsidR="00197D8C" w:rsidRPr="00FB202F" w:rsidRDefault="00197D8C"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w:t>
            </w:r>
            <w:r w:rsidR="00591A82">
              <w:rPr>
                <w:rFonts w:ascii="Times New Roman" w:hAnsi="Times New Roman" w:cs="Times New Roman"/>
                <w:sz w:val="24"/>
                <w:szCs w:val="24"/>
                <w:shd w:val="clear" w:color="auto" w:fill="FEFEFE"/>
                <w:lang w:val="en-GB"/>
              </w:rPr>
              <w:t>8</w:t>
            </w:r>
            <w:r w:rsidRPr="00FB202F">
              <w:rPr>
                <w:rFonts w:ascii="Times New Roman" w:hAnsi="Times New Roman" w:cs="Times New Roman"/>
                <w:sz w:val="24"/>
                <w:szCs w:val="24"/>
                <w:shd w:val="clear" w:color="auto" w:fill="FEFEFE"/>
              </w:rPr>
              <w:t>.</w:t>
            </w:r>
            <w:r w:rsidR="00EE097B">
              <w:rPr>
                <w:rFonts w:ascii="Times New Roman" w:hAnsi="Times New Roman" w:cs="Times New Roman"/>
                <w:sz w:val="24"/>
                <w:szCs w:val="24"/>
                <w:shd w:val="clear" w:color="auto" w:fill="FEFEFE"/>
              </w:rPr>
              <w:t xml:space="preserve"> </w:t>
            </w:r>
            <w:r w:rsidRPr="00FB202F">
              <w:rPr>
                <w:rFonts w:ascii="Times New Roman" w:hAnsi="Times New Roman" w:cs="Times New Roman"/>
                <w:sz w:val="24"/>
                <w:szCs w:val="24"/>
                <w:shd w:val="clear" w:color="auto" w:fill="FEFEFE"/>
              </w:rPr>
              <w:t>сертификация по НАССР (Анализ на опасностите и контрол на критичните точки) и по други международно признати стандарти</w:t>
            </w:r>
            <w:r w:rsidR="00012009">
              <w:rPr>
                <w:rFonts w:ascii="Times New Roman" w:hAnsi="Times New Roman" w:cs="Times New Roman"/>
                <w:sz w:val="24"/>
                <w:szCs w:val="24"/>
                <w:shd w:val="clear" w:color="auto" w:fill="FEFEFE"/>
              </w:rPr>
              <w:t>;</w:t>
            </w:r>
          </w:p>
          <w:p w14:paraId="51190F60" w14:textId="50646D9D" w:rsidR="00197D8C" w:rsidRPr="00FB202F" w:rsidRDefault="00197D8C"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1</w:t>
            </w:r>
            <w:r w:rsidR="00591A82">
              <w:rPr>
                <w:rFonts w:ascii="Times New Roman" w:hAnsi="Times New Roman" w:cs="Times New Roman"/>
                <w:sz w:val="24"/>
                <w:szCs w:val="24"/>
                <w:shd w:val="clear" w:color="auto" w:fill="FEFEFE"/>
                <w:lang w:val="en-GB"/>
              </w:rPr>
              <w:t>9</w:t>
            </w:r>
            <w:r w:rsidRPr="00FB202F">
              <w:rPr>
                <w:rFonts w:ascii="Times New Roman" w:hAnsi="Times New Roman" w:cs="Times New Roman"/>
                <w:sz w:val="24"/>
                <w:szCs w:val="24"/>
                <w:shd w:val="clear" w:color="auto" w:fill="FEFEFE"/>
              </w:rPr>
              <w:t xml:space="preserve">. </w:t>
            </w:r>
            <w:r w:rsidR="00EE097B">
              <w:rPr>
                <w:rFonts w:ascii="Times New Roman" w:hAnsi="Times New Roman" w:cs="Times New Roman"/>
                <w:sz w:val="24"/>
                <w:szCs w:val="24"/>
                <w:shd w:val="clear" w:color="auto" w:fill="FEFEFE"/>
              </w:rPr>
              <w:t>разход</w:t>
            </w:r>
            <w:r w:rsidRPr="00FB202F">
              <w:rPr>
                <w:rFonts w:ascii="Times New Roman" w:hAnsi="Times New Roman" w:cs="Times New Roman"/>
                <w:sz w:val="24"/>
                <w:szCs w:val="24"/>
                <w:shd w:val="clear" w:color="auto" w:fill="FEFEFE"/>
              </w:rPr>
              <w:t>и, които представляват обикновена подмяна</w:t>
            </w:r>
            <w:r w:rsidR="00012009">
              <w:rPr>
                <w:rFonts w:ascii="Times New Roman" w:hAnsi="Times New Roman" w:cs="Times New Roman"/>
                <w:sz w:val="24"/>
                <w:szCs w:val="24"/>
                <w:shd w:val="clear" w:color="auto" w:fill="FEFEFE"/>
              </w:rPr>
              <w:t>;</w:t>
            </w:r>
          </w:p>
          <w:p w14:paraId="496FB63C" w14:textId="548AE955" w:rsidR="00197D8C" w:rsidRPr="00FB202F" w:rsidRDefault="00197D8C"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2</w:t>
            </w:r>
            <w:r w:rsidR="00591A82">
              <w:rPr>
                <w:rFonts w:ascii="Times New Roman" w:hAnsi="Times New Roman" w:cs="Times New Roman"/>
                <w:sz w:val="24"/>
                <w:szCs w:val="24"/>
                <w:shd w:val="clear" w:color="auto" w:fill="FEFEFE"/>
                <w:lang w:val="en-GB"/>
              </w:rPr>
              <w:t>0</w:t>
            </w:r>
            <w:r w:rsidRPr="00FB202F">
              <w:rPr>
                <w:rFonts w:ascii="Times New Roman" w:hAnsi="Times New Roman" w:cs="Times New Roman"/>
                <w:sz w:val="24"/>
                <w:szCs w:val="24"/>
                <w:shd w:val="clear" w:color="auto" w:fill="FEFEFE"/>
              </w:rPr>
              <w:t xml:space="preserve">. </w:t>
            </w:r>
            <w:r w:rsidR="00EE097B">
              <w:rPr>
                <w:rFonts w:ascii="Times New Roman" w:hAnsi="Times New Roman" w:cs="Times New Roman"/>
                <w:sz w:val="24"/>
                <w:szCs w:val="24"/>
                <w:shd w:val="clear" w:color="auto" w:fill="FEFEFE"/>
              </w:rPr>
              <w:t>р</w:t>
            </w:r>
            <w:r w:rsidRPr="00FB202F">
              <w:rPr>
                <w:rFonts w:ascii="Times New Roman" w:hAnsi="Times New Roman" w:cs="Times New Roman"/>
                <w:sz w:val="24"/>
                <w:szCs w:val="24"/>
                <w:shd w:val="clear" w:color="auto" w:fill="FEFEFE"/>
              </w:rPr>
              <w:t>азходи, свързани с плащания в брой</w:t>
            </w:r>
            <w:r w:rsidR="00012009">
              <w:rPr>
                <w:rFonts w:ascii="Times New Roman" w:hAnsi="Times New Roman" w:cs="Times New Roman"/>
                <w:sz w:val="24"/>
                <w:szCs w:val="24"/>
                <w:shd w:val="clear" w:color="auto" w:fill="FEFEFE"/>
              </w:rPr>
              <w:t>;</w:t>
            </w:r>
          </w:p>
          <w:p w14:paraId="5DAEE5E6" w14:textId="09D8A4F6" w:rsidR="00197D8C" w:rsidRPr="00FB202F" w:rsidRDefault="00591A8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GB"/>
              </w:rPr>
              <w:t>2</w:t>
            </w:r>
            <w:r w:rsidR="00197D8C" w:rsidRPr="00FB202F">
              <w:rPr>
                <w:rFonts w:ascii="Times New Roman" w:hAnsi="Times New Roman" w:cs="Times New Roman"/>
                <w:sz w:val="24"/>
                <w:szCs w:val="24"/>
                <w:shd w:val="clear" w:color="auto" w:fill="FEFEFE"/>
              </w:rPr>
              <w:t xml:space="preserve">1. </w:t>
            </w:r>
            <w:r w:rsidR="00EE097B">
              <w:rPr>
                <w:rFonts w:ascii="Times New Roman" w:hAnsi="Times New Roman" w:cs="Times New Roman"/>
                <w:sz w:val="24"/>
                <w:szCs w:val="24"/>
                <w:shd w:val="clear" w:color="auto" w:fill="FEFEFE"/>
              </w:rPr>
              <w:t>о</w:t>
            </w:r>
            <w:r w:rsidR="00197D8C" w:rsidRPr="00FB202F">
              <w:rPr>
                <w:rFonts w:ascii="Times New Roman" w:hAnsi="Times New Roman" w:cs="Times New Roman"/>
                <w:sz w:val="24"/>
                <w:szCs w:val="24"/>
                <w:shd w:val="clear" w:color="auto" w:fill="FEFEFE"/>
              </w:rPr>
              <w:t>бщи разходи, извършени преди 01.</w:t>
            </w:r>
            <w:proofErr w:type="spellStart"/>
            <w:r w:rsidR="00197D8C" w:rsidRPr="00FB202F">
              <w:rPr>
                <w:rFonts w:ascii="Times New Roman" w:hAnsi="Times New Roman" w:cs="Times New Roman"/>
                <w:sz w:val="24"/>
                <w:szCs w:val="24"/>
                <w:shd w:val="clear" w:color="auto" w:fill="FEFEFE"/>
              </w:rPr>
              <w:t>01</w:t>
            </w:r>
            <w:proofErr w:type="spellEnd"/>
            <w:r w:rsidR="00197D8C" w:rsidRPr="00FB202F">
              <w:rPr>
                <w:rFonts w:ascii="Times New Roman" w:hAnsi="Times New Roman" w:cs="Times New Roman"/>
                <w:sz w:val="24"/>
                <w:szCs w:val="24"/>
                <w:shd w:val="clear" w:color="auto" w:fill="FEFEFE"/>
              </w:rPr>
              <w:t>.2023 г.</w:t>
            </w:r>
            <w:r w:rsidR="00012009">
              <w:rPr>
                <w:rFonts w:ascii="Times New Roman" w:hAnsi="Times New Roman" w:cs="Times New Roman"/>
                <w:sz w:val="24"/>
                <w:szCs w:val="24"/>
                <w:shd w:val="clear" w:color="auto" w:fill="FEFEFE"/>
              </w:rPr>
              <w:t>;</w:t>
            </w:r>
          </w:p>
          <w:p w14:paraId="29C310B9" w14:textId="2EC06608" w:rsidR="00521095" w:rsidRPr="00FB202F" w:rsidRDefault="00591A8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GB"/>
              </w:rPr>
              <w:t>22</w:t>
            </w:r>
            <w:r w:rsidR="00197D8C" w:rsidRPr="00FB202F">
              <w:rPr>
                <w:rFonts w:ascii="Times New Roman" w:hAnsi="Times New Roman" w:cs="Times New Roman"/>
                <w:sz w:val="24"/>
                <w:szCs w:val="24"/>
                <w:shd w:val="clear" w:color="auto" w:fill="FEFEFE"/>
              </w:rPr>
              <w:t xml:space="preserve">. </w:t>
            </w:r>
            <w:r w:rsidR="00EE097B">
              <w:rPr>
                <w:rFonts w:ascii="Times New Roman" w:hAnsi="Times New Roman" w:cs="Times New Roman"/>
                <w:sz w:val="24"/>
                <w:szCs w:val="24"/>
                <w:shd w:val="clear" w:color="auto" w:fill="FEFEFE"/>
              </w:rPr>
              <w:t>з</w:t>
            </w:r>
            <w:r w:rsidR="00197D8C" w:rsidRPr="00FB202F">
              <w:rPr>
                <w:rFonts w:ascii="Times New Roman" w:hAnsi="Times New Roman" w:cs="Times New Roman"/>
                <w:sz w:val="24"/>
                <w:szCs w:val="24"/>
                <w:shd w:val="clear" w:color="auto" w:fill="FEFEFE"/>
              </w:rPr>
              <w:t xml:space="preserve">акупуване на превозни и транспортни средства, с изключение на специализирани такива, в зависимост от допустимите за подпомагане дейности по съответната </w:t>
            </w:r>
            <w:r w:rsidR="00DC5189">
              <w:rPr>
                <w:rFonts w:ascii="Times New Roman" w:hAnsi="Times New Roman" w:cs="Times New Roman"/>
                <w:sz w:val="24"/>
                <w:szCs w:val="24"/>
                <w:shd w:val="clear" w:color="auto" w:fill="FEFEFE"/>
              </w:rPr>
              <w:t xml:space="preserve">интервенция </w:t>
            </w:r>
            <w:r w:rsidR="00DC5189">
              <w:rPr>
                <w:rFonts w:ascii="Times New Roman" w:hAnsi="Times New Roman" w:cs="Times New Roman"/>
                <w:sz w:val="24"/>
                <w:szCs w:val="24"/>
                <w:shd w:val="clear" w:color="auto" w:fill="FEFEFE"/>
              </w:rPr>
              <w:lastRenderedPageBreak/>
              <w:t>в СПРЗСР;</w:t>
            </w:r>
          </w:p>
          <w:p w14:paraId="69F4EDFC" w14:textId="11AF7FA9" w:rsidR="008B5AA1" w:rsidRPr="00FB202F" w:rsidRDefault="00EE097B"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23. </w:t>
            </w:r>
            <w:r w:rsidR="00AD6FD7">
              <w:rPr>
                <w:rFonts w:ascii="Times New Roman" w:hAnsi="Times New Roman" w:cs="Times New Roman"/>
                <w:sz w:val="24"/>
                <w:szCs w:val="24"/>
                <w:shd w:val="clear" w:color="auto" w:fill="FEFEFE"/>
              </w:rPr>
              <w:t xml:space="preserve">разходи, </w:t>
            </w:r>
            <w:r w:rsidR="008B5AA1" w:rsidRPr="00FB202F">
              <w:rPr>
                <w:rFonts w:ascii="Times New Roman" w:hAnsi="Times New Roman" w:cs="Times New Roman"/>
                <w:sz w:val="24"/>
                <w:szCs w:val="24"/>
                <w:shd w:val="clear" w:color="auto" w:fill="FEFEFE"/>
              </w:rPr>
              <w:t>предвиждащи фиксирани плащания и мерки, свързани със схеми за плащания на площ;</w:t>
            </w:r>
          </w:p>
          <w:p w14:paraId="3BD53D82" w14:textId="0E684A98" w:rsidR="008B5AA1" w:rsidRPr="00F3199A" w:rsidRDefault="00EE097B" w:rsidP="007541D6">
            <w:pPr>
              <w:spacing w:after="200" w:line="276" w:lineRule="auto"/>
              <w:ind w:firstLine="567"/>
              <w:jc w:val="both"/>
              <w:rPr>
                <w:rFonts w:ascii="Times New Roman" w:hAnsi="Times New Roman" w:cs="Times New Roman"/>
                <w:sz w:val="24"/>
                <w:szCs w:val="24"/>
                <w:shd w:val="clear" w:color="auto" w:fill="FEFEFE"/>
                <w:lang w:val="en-GB"/>
              </w:rPr>
            </w:pPr>
            <w:r>
              <w:rPr>
                <w:rFonts w:ascii="Times New Roman" w:hAnsi="Times New Roman" w:cs="Times New Roman"/>
                <w:sz w:val="24"/>
                <w:szCs w:val="24"/>
                <w:shd w:val="clear" w:color="auto" w:fill="FEFEFE"/>
              </w:rPr>
              <w:t xml:space="preserve">24. </w:t>
            </w:r>
            <w:r w:rsidR="00FC4B2E">
              <w:rPr>
                <w:rFonts w:ascii="Times New Roman" w:hAnsi="Times New Roman" w:cs="Times New Roman"/>
                <w:sz w:val="24"/>
                <w:szCs w:val="24"/>
                <w:shd w:val="clear" w:color="auto" w:fill="FEFEFE"/>
              </w:rPr>
              <w:t>и</w:t>
            </w:r>
            <w:r w:rsidR="008B5AA1" w:rsidRPr="00FB202F">
              <w:rPr>
                <w:rFonts w:ascii="Times New Roman" w:hAnsi="Times New Roman" w:cs="Times New Roman"/>
                <w:sz w:val="24"/>
                <w:szCs w:val="24"/>
                <w:shd w:val="clear" w:color="auto" w:fill="FEFEFE"/>
              </w:rPr>
              <w:t>нфраструктура, свързан</w:t>
            </w:r>
            <w:r w:rsidR="00096DDF">
              <w:rPr>
                <w:rFonts w:ascii="Times New Roman" w:hAnsi="Times New Roman" w:cs="Times New Roman"/>
                <w:sz w:val="24"/>
                <w:szCs w:val="24"/>
                <w:shd w:val="clear" w:color="auto" w:fill="FEFEFE"/>
              </w:rPr>
              <w:t>а</w:t>
            </w:r>
            <w:r w:rsidR="008B5AA1" w:rsidRPr="00FB202F">
              <w:rPr>
                <w:rFonts w:ascii="Times New Roman" w:hAnsi="Times New Roman" w:cs="Times New Roman"/>
                <w:sz w:val="24"/>
                <w:szCs w:val="24"/>
                <w:shd w:val="clear" w:color="auto" w:fill="FEFEFE"/>
              </w:rPr>
              <w:t xml:space="preserve"> с пътища</w:t>
            </w:r>
            <w:r w:rsidR="00096DDF">
              <w:rPr>
                <w:rFonts w:ascii="Times New Roman" w:hAnsi="Times New Roman" w:cs="Times New Roman"/>
                <w:sz w:val="24"/>
                <w:szCs w:val="24"/>
                <w:shd w:val="clear" w:color="auto" w:fill="FEFEFE"/>
              </w:rPr>
              <w:t xml:space="preserve"> и</w:t>
            </w:r>
            <w:r w:rsidR="00096DDF">
              <w:rPr>
                <w:rFonts w:ascii="Times New Roman" w:hAnsi="Times New Roman" w:cs="Times New Roman"/>
                <w:sz w:val="24"/>
                <w:szCs w:val="24"/>
                <w:shd w:val="clear" w:color="auto" w:fill="FEFEFE"/>
                <w:lang w:val="en-US"/>
              </w:rPr>
              <w:t>/</w:t>
            </w:r>
            <w:r w:rsidR="00096DDF">
              <w:rPr>
                <w:rFonts w:ascii="Times New Roman" w:hAnsi="Times New Roman" w:cs="Times New Roman"/>
                <w:sz w:val="24"/>
                <w:szCs w:val="24"/>
                <w:shd w:val="clear" w:color="auto" w:fill="FEFEFE"/>
              </w:rPr>
              <w:t>или</w:t>
            </w:r>
            <w:r w:rsidR="008B5AA1" w:rsidRPr="00FB202F">
              <w:rPr>
                <w:rFonts w:ascii="Times New Roman" w:hAnsi="Times New Roman" w:cs="Times New Roman"/>
                <w:sz w:val="24"/>
                <w:szCs w:val="24"/>
                <w:shd w:val="clear" w:color="auto" w:fill="FEFEFE"/>
              </w:rPr>
              <w:t xml:space="preserve"> </w:t>
            </w:r>
            <w:proofErr w:type="spellStart"/>
            <w:r w:rsidR="008B5AA1" w:rsidRPr="00FB202F">
              <w:rPr>
                <w:rFonts w:ascii="Times New Roman" w:hAnsi="Times New Roman" w:cs="Times New Roman"/>
                <w:sz w:val="24"/>
                <w:szCs w:val="24"/>
                <w:shd w:val="clear" w:color="auto" w:fill="FEFEFE"/>
              </w:rPr>
              <w:t>водопреносни</w:t>
            </w:r>
            <w:proofErr w:type="spellEnd"/>
            <w:r w:rsidR="008B5AA1" w:rsidRPr="00FB202F">
              <w:rPr>
                <w:rFonts w:ascii="Times New Roman" w:hAnsi="Times New Roman" w:cs="Times New Roman"/>
                <w:sz w:val="24"/>
                <w:szCs w:val="24"/>
                <w:shd w:val="clear" w:color="auto" w:fill="FEFEFE"/>
              </w:rPr>
              <w:t xml:space="preserve"> и канализационни системи,</w:t>
            </w:r>
            <w:r w:rsidR="00096DDF">
              <w:rPr>
                <w:rFonts w:ascii="Times New Roman" w:hAnsi="Times New Roman" w:cs="Times New Roman"/>
                <w:sz w:val="24"/>
                <w:szCs w:val="24"/>
                <w:shd w:val="clear" w:color="auto" w:fill="FEFEFE"/>
              </w:rPr>
              <w:t xml:space="preserve"> когато </w:t>
            </w:r>
            <w:r w:rsidR="008B5AA1" w:rsidRPr="00FB202F">
              <w:rPr>
                <w:rFonts w:ascii="Times New Roman" w:hAnsi="Times New Roman" w:cs="Times New Roman"/>
                <w:sz w:val="24"/>
                <w:szCs w:val="24"/>
                <w:shd w:val="clear" w:color="auto" w:fill="FEFEFE"/>
              </w:rPr>
              <w:t>не са част от по-голям проект или не са свързани с дейности, отговарящи на концепцията за интелигентни селища;</w:t>
            </w:r>
          </w:p>
          <w:p w14:paraId="71B3D2FF" w14:textId="0308EB1B" w:rsidR="008B5AA1" w:rsidRPr="00FB202F" w:rsidRDefault="00EE097B"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25.</w:t>
            </w:r>
            <w:r w:rsidR="008B5AA1" w:rsidRPr="00FB202F">
              <w:rPr>
                <w:rFonts w:ascii="Times New Roman" w:hAnsi="Times New Roman" w:cs="Times New Roman"/>
                <w:sz w:val="24"/>
                <w:szCs w:val="24"/>
                <w:shd w:val="clear" w:color="auto" w:fill="FEFEFE"/>
              </w:rPr>
              <w:t xml:space="preserve"> основни земеделски инвестиции, с изключение на такива, предвидени за социално земеделие и</w:t>
            </w:r>
            <w:r w:rsidR="00191EB0">
              <w:rPr>
                <w:rFonts w:ascii="Times New Roman" w:hAnsi="Times New Roman" w:cs="Times New Roman"/>
                <w:sz w:val="24"/>
                <w:szCs w:val="24"/>
                <w:shd w:val="clear" w:color="auto" w:fill="FEFEFE"/>
              </w:rPr>
              <w:t>/или</w:t>
            </w:r>
            <w:r w:rsidR="008B5AA1" w:rsidRPr="00FB202F">
              <w:rPr>
                <w:rFonts w:ascii="Times New Roman" w:hAnsi="Times New Roman" w:cs="Times New Roman"/>
                <w:sz w:val="24"/>
                <w:szCs w:val="24"/>
                <w:shd w:val="clear" w:color="auto" w:fill="FEFEFE"/>
              </w:rPr>
              <w:t xml:space="preserve"> такива, свързани с колективни инвестиции;</w:t>
            </w:r>
          </w:p>
          <w:p w14:paraId="6A4826AF" w14:textId="77777777" w:rsidR="00BE1A45" w:rsidRDefault="00EE097B"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26.</w:t>
            </w:r>
            <w:r w:rsidR="008B5AA1" w:rsidRPr="00FB202F">
              <w:rPr>
                <w:rFonts w:ascii="Times New Roman" w:hAnsi="Times New Roman" w:cs="Times New Roman"/>
                <w:sz w:val="24"/>
                <w:szCs w:val="24"/>
                <w:shd w:val="clear" w:color="auto" w:fill="FEFEFE"/>
              </w:rPr>
              <w:t xml:space="preserve"> </w:t>
            </w:r>
            <w:r w:rsidR="00A155DD" w:rsidRPr="00FB202F">
              <w:rPr>
                <w:rFonts w:ascii="Times New Roman" w:hAnsi="Times New Roman" w:cs="Times New Roman"/>
                <w:sz w:val="24"/>
                <w:szCs w:val="24"/>
                <w:shd w:val="clear" w:color="auto" w:fill="FEFEFE"/>
              </w:rPr>
              <w:t>изграждане</w:t>
            </w:r>
            <w:r w:rsidR="00A155DD" w:rsidRPr="00FB202F">
              <w:rPr>
                <w:rFonts w:ascii="Times New Roman" w:hAnsi="Times New Roman" w:cs="Times New Roman"/>
                <w:sz w:val="24"/>
                <w:szCs w:val="24"/>
                <w:shd w:val="clear" w:color="auto" w:fill="FEFEFE"/>
                <w:lang w:val="en-GB"/>
              </w:rPr>
              <w:t>/</w:t>
            </w:r>
            <w:r w:rsidR="00A155DD" w:rsidRPr="00FB202F">
              <w:rPr>
                <w:rFonts w:ascii="Times New Roman" w:hAnsi="Times New Roman" w:cs="Times New Roman"/>
                <w:sz w:val="24"/>
                <w:szCs w:val="24"/>
                <w:shd w:val="clear" w:color="auto" w:fill="FEFEFE"/>
              </w:rPr>
              <w:t>ремонт</w:t>
            </w:r>
            <w:r w:rsidR="00A155DD" w:rsidRPr="00FB202F">
              <w:rPr>
                <w:rFonts w:ascii="Times New Roman" w:hAnsi="Times New Roman" w:cs="Times New Roman"/>
                <w:sz w:val="24"/>
                <w:szCs w:val="24"/>
                <w:shd w:val="clear" w:color="auto" w:fill="FEFEFE"/>
                <w:lang w:val="en-GB"/>
              </w:rPr>
              <w:t>/</w:t>
            </w:r>
            <w:r w:rsidR="00A155DD" w:rsidRPr="00FB202F">
              <w:rPr>
                <w:rFonts w:ascii="Times New Roman" w:hAnsi="Times New Roman" w:cs="Times New Roman"/>
                <w:sz w:val="24"/>
                <w:szCs w:val="24"/>
                <w:shd w:val="clear" w:color="auto" w:fill="FEFEFE"/>
              </w:rPr>
              <w:t>реконструкция на места за настаняване</w:t>
            </w:r>
            <w:r w:rsidR="00BE1A45">
              <w:rPr>
                <w:rFonts w:ascii="Times New Roman" w:hAnsi="Times New Roman" w:cs="Times New Roman"/>
                <w:sz w:val="24"/>
                <w:szCs w:val="24"/>
                <w:shd w:val="clear" w:color="auto" w:fill="FEFEFE"/>
              </w:rPr>
              <w:t>;</w:t>
            </w:r>
          </w:p>
          <w:p w14:paraId="243B52E5" w14:textId="07D8C6EF" w:rsidR="00BE1A45" w:rsidRDefault="00BE1A45"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27. напоителни инсталации;</w:t>
            </w:r>
          </w:p>
          <w:p w14:paraId="4A90B56D" w14:textId="54B2A25C" w:rsidR="008B5AA1" w:rsidRDefault="00BE1A45"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28. закупуване на земя и сгради на стойност, надвишаваща</w:t>
            </w:r>
            <w:r w:rsidR="00C75472">
              <w:rPr>
                <w:rFonts w:ascii="Times New Roman" w:hAnsi="Times New Roman" w:cs="Times New Roman"/>
                <w:sz w:val="24"/>
                <w:szCs w:val="24"/>
                <w:shd w:val="clear" w:color="auto" w:fill="FEFEFE"/>
              </w:rPr>
              <w:t xml:space="preserve"> стойността на данъчната оценка;</w:t>
            </w:r>
          </w:p>
          <w:p w14:paraId="640B8739" w14:textId="3B2BAF7E" w:rsidR="00C75472" w:rsidRDefault="00C7547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29. </w:t>
            </w:r>
            <w:r w:rsidR="00B73232" w:rsidRPr="00B73232">
              <w:rPr>
                <w:rFonts w:ascii="Times New Roman" w:hAnsi="Times New Roman" w:cs="Times New Roman"/>
                <w:sz w:val="24"/>
                <w:szCs w:val="24"/>
                <w:shd w:val="clear" w:color="auto" w:fill="FEFEFE"/>
              </w:rPr>
              <w:t>разходи за строителна техника, включително самоходни машини, когато проект</w:t>
            </w:r>
            <w:r w:rsidR="00B73232">
              <w:rPr>
                <w:rFonts w:ascii="Times New Roman" w:hAnsi="Times New Roman" w:cs="Times New Roman"/>
                <w:sz w:val="24"/>
                <w:szCs w:val="24"/>
                <w:shd w:val="clear" w:color="auto" w:fill="FEFEFE"/>
              </w:rPr>
              <w:t>ът</w:t>
            </w:r>
            <w:r w:rsidR="00B73232" w:rsidRPr="00B73232">
              <w:rPr>
                <w:rFonts w:ascii="Times New Roman" w:hAnsi="Times New Roman" w:cs="Times New Roman"/>
                <w:sz w:val="24"/>
                <w:szCs w:val="24"/>
                <w:shd w:val="clear" w:color="auto" w:fill="FEFEFE"/>
              </w:rPr>
              <w:t xml:space="preserve"> е свързан със земеделска дейност, включително животнов</w:t>
            </w:r>
            <w:r w:rsidR="00B73232">
              <w:rPr>
                <w:rFonts w:ascii="Times New Roman" w:hAnsi="Times New Roman" w:cs="Times New Roman"/>
                <w:sz w:val="24"/>
                <w:szCs w:val="24"/>
                <w:shd w:val="clear" w:color="auto" w:fill="FEFEFE"/>
              </w:rPr>
              <w:t>ъ</w:t>
            </w:r>
            <w:r w:rsidR="00B73232" w:rsidRPr="00B73232">
              <w:rPr>
                <w:rFonts w:ascii="Times New Roman" w:hAnsi="Times New Roman" w:cs="Times New Roman"/>
                <w:sz w:val="24"/>
                <w:szCs w:val="24"/>
                <w:shd w:val="clear" w:color="auto" w:fill="FEFEFE"/>
              </w:rPr>
              <w:t>дни обекти и складове за съхран</w:t>
            </w:r>
            <w:r w:rsidR="00B73232">
              <w:rPr>
                <w:rFonts w:ascii="Times New Roman" w:hAnsi="Times New Roman" w:cs="Times New Roman"/>
                <w:sz w:val="24"/>
                <w:szCs w:val="24"/>
                <w:shd w:val="clear" w:color="auto" w:fill="FEFEFE"/>
              </w:rPr>
              <w:t>е</w:t>
            </w:r>
            <w:r w:rsidR="00B73232" w:rsidRPr="00B73232">
              <w:rPr>
                <w:rFonts w:ascii="Times New Roman" w:hAnsi="Times New Roman" w:cs="Times New Roman"/>
                <w:sz w:val="24"/>
                <w:szCs w:val="24"/>
                <w:shd w:val="clear" w:color="auto" w:fill="FEFEFE"/>
              </w:rPr>
              <w:t>ние на продук</w:t>
            </w:r>
            <w:r w:rsidR="00B73232">
              <w:rPr>
                <w:rFonts w:ascii="Times New Roman" w:hAnsi="Times New Roman" w:cs="Times New Roman"/>
                <w:sz w:val="24"/>
                <w:szCs w:val="24"/>
                <w:shd w:val="clear" w:color="auto" w:fill="FEFEFE"/>
              </w:rPr>
              <w:t>ц</w:t>
            </w:r>
            <w:r w:rsidR="00B73232" w:rsidRPr="00B73232">
              <w:rPr>
                <w:rFonts w:ascii="Times New Roman" w:hAnsi="Times New Roman" w:cs="Times New Roman"/>
                <w:sz w:val="24"/>
                <w:szCs w:val="24"/>
                <w:shd w:val="clear" w:color="auto" w:fill="FEFEFE"/>
              </w:rPr>
              <w:t>ия</w:t>
            </w:r>
            <w:r>
              <w:rPr>
                <w:rFonts w:ascii="Times New Roman" w:hAnsi="Times New Roman" w:cs="Times New Roman"/>
                <w:sz w:val="24"/>
                <w:szCs w:val="24"/>
                <w:shd w:val="clear" w:color="auto" w:fill="FEFEFE"/>
              </w:rPr>
              <w:t>.</w:t>
            </w:r>
          </w:p>
          <w:p w14:paraId="2A41C1A0" w14:textId="77777777" w:rsidR="00EF34D0" w:rsidRDefault="00EF34D0" w:rsidP="007541D6">
            <w:pPr>
              <w:spacing w:line="276" w:lineRule="auto"/>
              <w:ind w:firstLine="567"/>
              <w:jc w:val="both"/>
              <w:rPr>
                <w:rFonts w:ascii="Times New Roman" w:hAnsi="Times New Roman" w:cs="Times New Roman"/>
                <w:sz w:val="24"/>
                <w:szCs w:val="24"/>
                <w:shd w:val="clear" w:color="auto" w:fill="FEFEFE"/>
              </w:rPr>
            </w:pPr>
          </w:p>
          <w:p w14:paraId="0DE16D9F" w14:textId="169B4D27" w:rsidR="00EF34D0" w:rsidRPr="00FB202F" w:rsidRDefault="00EF34D0"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 xml:space="preserve">. </w:t>
            </w:r>
            <w:r w:rsidR="00720BC2">
              <w:rPr>
                <w:rFonts w:ascii="Times New Roman" w:hAnsi="Times New Roman" w:cs="Times New Roman"/>
                <w:sz w:val="24"/>
                <w:szCs w:val="24"/>
                <w:shd w:val="clear" w:color="auto" w:fill="FEFEFE"/>
              </w:rPr>
              <w:t>За</w:t>
            </w:r>
            <w:r w:rsidRPr="00FB202F">
              <w:rPr>
                <w:rFonts w:ascii="Times New Roman" w:hAnsi="Times New Roman" w:cs="Times New Roman"/>
                <w:sz w:val="24"/>
                <w:szCs w:val="24"/>
                <w:shd w:val="clear" w:color="auto" w:fill="FEFEFE"/>
              </w:rPr>
              <w:t xml:space="preserve"> </w:t>
            </w:r>
            <w:r w:rsidR="00720BC2">
              <w:rPr>
                <w:rFonts w:ascii="Times New Roman" w:hAnsi="Times New Roman" w:cs="Times New Roman"/>
                <w:sz w:val="24"/>
                <w:szCs w:val="24"/>
                <w:shd w:val="clear" w:color="auto" w:fill="FEFEFE"/>
              </w:rPr>
              <w:t xml:space="preserve">дейностите по </w:t>
            </w:r>
            <w:r>
              <w:rPr>
                <w:rFonts w:ascii="Times New Roman" w:hAnsi="Times New Roman" w:cs="Times New Roman"/>
                <w:sz w:val="24"/>
                <w:szCs w:val="24"/>
                <w:shd w:val="clear" w:color="auto" w:fill="FEFEFE"/>
              </w:rPr>
              <w:t xml:space="preserve">управление, мониторинг и оценка на  стратегиите за ВОМР и тяхното популяризиране, </w:t>
            </w:r>
            <w:r w:rsidR="00720BC2">
              <w:rPr>
                <w:rFonts w:ascii="Times New Roman" w:hAnsi="Times New Roman" w:cs="Times New Roman"/>
                <w:sz w:val="24"/>
                <w:szCs w:val="24"/>
                <w:shd w:val="clear" w:color="auto" w:fill="FEFEFE"/>
              </w:rPr>
              <w:t xml:space="preserve">не са допустими </w:t>
            </w:r>
            <w:r w:rsidRPr="00FB202F">
              <w:rPr>
                <w:rFonts w:ascii="Times New Roman" w:hAnsi="Times New Roman" w:cs="Times New Roman"/>
                <w:sz w:val="24"/>
                <w:szCs w:val="24"/>
                <w:shd w:val="clear" w:color="auto" w:fill="FEFEFE"/>
              </w:rPr>
              <w:t>разходи:</w:t>
            </w:r>
          </w:p>
          <w:p w14:paraId="280EBF8F" w14:textId="5EEB9BF2" w:rsidR="00720BC2" w:rsidRPr="00720BC2" w:rsidRDefault="00F321A0"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 xml:space="preserve">.1. за </w:t>
            </w:r>
            <w:r w:rsidR="00720BC2" w:rsidRPr="00720BC2">
              <w:rPr>
                <w:rFonts w:ascii="Times New Roman" w:hAnsi="Times New Roman" w:cs="Times New Roman"/>
                <w:sz w:val="24"/>
                <w:szCs w:val="24"/>
                <w:shd w:val="clear" w:color="auto" w:fill="FEFEFE"/>
              </w:rPr>
              <w:t>закупуване на техника или оборудване втора употреба;</w:t>
            </w:r>
          </w:p>
          <w:p w14:paraId="58D790A3" w14:textId="76DFAAAE"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w:t>
            </w:r>
            <w:r w:rsidR="00F321A0">
              <w:rPr>
                <w:rFonts w:ascii="Times New Roman" w:hAnsi="Times New Roman" w:cs="Times New Roman"/>
                <w:sz w:val="24"/>
                <w:szCs w:val="24"/>
                <w:shd w:val="clear" w:color="auto" w:fill="FEFEFE"/>
              </w:rPr>
              <w:t>2</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 xml:space="preserve">за застраховка на дълготрайни материални активи, които не са придобити със средства, отпуснати по настоящите </w:t>
            </w:r>
            <w:r w:rsidR="00F321A0">
              <w:rPr>
                <w:rFonts w:ascii="Times New Roman" w:hAnsi="Times New Roman" w:cs="Times New Roman"/>
                <w:sz w:val="24"/>
                <w:szCs w:val="24"/>
                <w:shd w:val="clear" w:color="auto" w:fill="FEFEFE"/>
              </w:rPr>
              <w:t>Насоки</w:t>
            </w:r>
            <w:r w:rsidRPr="00720BC2">
              <w:rPr>
                <w:rFonts w:ascii="Times New Roman" w:hAnsi="Times New Roman" w:cs="Times New Roman"/>
                <w:sz w:val="24"/>
                <w:szCs w:val="24"/>
                <w:shd w:val="clear" w:color="auto" w:fill="FEFEFE"/>
              </w:rPr>
              <w:t xml:space="preserve"> или по мярка 19 „Водено от общностите местно развитие“ от Програмата за развитие на селските райони за периода 2014</w:t>
            </w:r>
            <w:r w:rsidR="00953272">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2020 г.;</w:t>
            </w:r>
          </w:p>
          <w:p w14:paraId="60D4A630" w14:textId="421C29E2"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w:t>
            </w:r>
            <w:r w:rsidR="00F321A0">
              <w:rPr>
                <w:rFonts w:ascii="Times New Roman" w:hAnsi="Times New Roman" w:cs="Times New Roman"/>
                <w:sz w:val="24"/>
                <w:szCs w:val="24"/>
                <w:shd w:val="clear" w:color="auto" w:fill="FEFEFE"/>
              </w:rPr>
              <w:t>3</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свързани с възнаграждения на персонала, които не са задължителни по силата на нормативен акт;</w:t>
            </w:r>
          </w:p>
          <w:p w14:paraId="58F86BA2" w14:textId="4D7FA029"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w:t>
            </w:r>
            <w:r w:rsidR="00F321A0">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за закупуване на земя и сгради;</w:t>
            </w:r>
          </w:p>
          <w:p w14:paraId="4D460AC8" w14:textId="343035AA"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w:t>
            </w:r>
            <w:r w:rsidR="00F321A0">
              <w:rPr>
                <w:rFonts w:ascii="Times New Roman" w:hAnsi="Times New Roman" w:cs="Times New Roman"/>
                <w:sz w:val="24"/>
                <w:szCs w:val="24"/>
                <w:shd w:val="clear" w:color="auto" w:fill="FEFEFE"/>
              </w:rPr>
              <w:t>5</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 xml:space="preserve">за данъци и данък добавена стойност (ДДС) с изключение на невъзстановим ДДС; </w:t>
            </w:r>
          </w:p>
          <w:p w14:paraId="131867D6" w14:textId="29FDBE59" w:rsid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w:t>
            </w:r>
            <w:r w:rsidR="00F321A0">
              <w:rPr>
                <w:rFonts w:ascii="Times New Roman" w:hAnsi="Times New Roman" w:cs="Times New Roman"/>
                <w:sz w:val="24"/>
                <w:szCs w:val="24"/>
                <w:shd w:val="clear" w:color="auto" w:fill="FEFEFE"/>
              </w:rPr>
              <w:t>6</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за лихви, глоби и неустойки</w:t>
            </w:r>
            <w:r w:rsidR="00677AE9">
              <w:rPr>
                <w:rFonts w:ascii="Times New Roman" w:hAnsi="Times New Roman" w:cs="Times New Roman"/>
                <w:sz w:val="24"/>
                <w:szCs w:val="24"/>
                <w:shd w:val="clear" w:color="auto" w:fill="FEFEFE"/>
              </w:rPr>
              <w:t>, такси по обслужване на заеми и разходи за съдебни разноски;</w:t>
            </w:r>
          </w:p>
          <w:p w14:paraId="2A5433AB" w14:textId="7AF44AD5"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w:t>
            </w:r>
            <w:r w:rsidR="00F321A0">
              <w:rPr>
                <w:rFonts w:ascii="Times New Roman" w:hAnsi="Times New Roman" w:cs="Times New Roman"/>
                <w:sz w:val="24"/>
                <w:szCs w:val="24"/>
                <w:shd w:val="clear" w:color="auto" w:fill="FEFEFE"/>
              </w:rPr>
              <w:t>7</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за членски внос</w:t>
            </w:r>
            <w:r w:rsidR="00CB35F1">
              <w:rPr>
                <w:rFonts w:ascii="Times New Roman" w:hAnsi="Times New Roman" w:cs="Times New Roman"/>
                <w:sz w:val="24"/>
                <w:szCs w:val="24"/>
                <w:shd w:val="clear" w:color="auto" w:fill="FEFEFE"/>
              </w:rPr>
              <w:t>;</w:t>
            </w:r>
          </w:p>
          <w:p w14:paraId="7B4EE010" w14:textId="094C9352"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w:t>
            </w:r>
            <w:r w:rsidR="00F321A0">
              <w:rPr>
                <w:rFonts w:ascii="Times New Roman" w:hAnsi="Times New Roman" w:cs="Times New Roman"/>
                <w:sz w:val="24"/>
                <w:szCs w:val="24"/>
                <w:shd w:val="clear" w:color="auto" w:fill="FEFEFE"/>
              </w:rPr>
              <w:t>8</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 xml:space="preserve">свързани с договор за лизинг, като печалба за лизинговата компания, разходи по лихви за рефинансиране, оперативни и застрахователни разходи, </w:t>
            </w:r>
            <w:proofErr w:type="spellStart"/>
            <w:r w:rsidRPr="00720BC2">
              <w:rPr>
                <w:rFonts w:ascii="Times New Roman" w:hAnsi="Times New Roman" w:cs="Times New Roman"/>
                <w:sz w:val="24"/>
                <w:szCs w:val="24"/>
                <w:shd w:val="clear" w:color="auto" w:fill="FEFEFE"/>
              </w:rPr>
              <w:t>разходи</w:t>
            </w:r>
            <w:proofErr w:type="spellEnd"/>
            <w:r w:rsidRPr="00720BC2">
              <w:rPr>
                <w:rFonts w:ascii="Times New Roman" w:hAnsi="Times New Roman" w:cs="Times New Roman"/>
                <w:sz w:val="24"/>
                <w:szCs w:val="24"/>
                <w:shd w:val="clear" w:color="auto" w:fill="FEFEFE"/>
              </w:rPr>
              <w:t xml:space="preserve"> за неустойки и такси и други разходи, свързани с договора за лизинг;</w:t>
            </w:r>
          </w:p>
          <w:p w14:paraId="225FC743" w14:textId="4FCFBDFC"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w:t>
            </w:r>
            <w:r w:rsidR="00AF5FD7">
              <w:rPr>
                <w:rFonts w:ascii="Times New Roman" w:hAnsi="Times New Roman" w:cs="Times New Roman"/>
                <w:sz w:val="24"/>
                <w:szCs w:val="24"/>
                <w:shd w:val="clear" w:color="auto" w:fill="FEFEFE"/>
              </w:rPr>
              <w:t>9</w:t>
            </w:r>
            <w:r>
              <w:rPr>
                <w:rFonts w:ascii="Times New Roman" w:hAnsi="Times New Roman" w:cs="Times New Roman"/>
                <w:sz w:val="24"/>
                <w:szCs w:val="24"/>
                <w:shd w:val="clear" w:color="auto" w:fill="FEFEFE"/>
              </w:rPr>
              <w:t xml:space="preserve">. </w:t>
            </w:r>
            <w:r w:rsidR="001A0B05" w:rsidRPr="00720BC2">
              <w:rPr>
                <w:rFonts w:ascii="Times New Roman" w:hAnsi="Times New Roman" w:cs="Times New Roman"/>
                <w:sz w:val="24"/>
                <w:szCs w:val="24"/>
                <w:shd w:val="clear" w:color="auto" w:fill="FEFEFE"/>
              </w:rPr>
              <w:t xml:space="preserve">за възнаграждения на повече от </w:t>
            </w:r>
            <w:r w:rsidR="00A779E3">
              <w:rPr>
                <w:rFonts w:ascii="Times New Roman" w:hAnsi="Times New Roman" w:cs="Times New Roman"/>
                <w:sz w:val="24"/>
                <w:szCs w:val="24"/>
                <w:shd w:val="clear" w:color="auto" w:fill="FEFEFE"/>
              </w:rPr>
              <w:t>четирима</w:t>
            </w:r>
            <w:r w:rsidR="00A779E3" w:rsidRPr="00720BC2">
              <w:rPr>
                <w:rFonts w:ascii="Times New Roman" w:hAnsi="Times New Roman" w:cs="Times New Roman"/>
                <w:sz w:val="24"/>
                <w:szCs w:val="24"/>
                <w:shd w:val="clear" w:color="auto" w:fill="FEFEFE"/>
              </w:rPr>
              <w:t xml:space="preserve"> </w:t>
            </w:r>
            <w:r w:rsidR="001A0B05" w:rsidRPr="00720BC2">
              <w:rPr>
                <w:rFonts w:ascii="Times New Roman" w:hAnsi="Times New Roman" w:cs="Times New Roman"/>
                <w:sz w:val="24"/>
                <w:szCs w:val="24"/>
                <w:shd w:val="clear" w:color="auto" w:fill="FEFEFE"/>
              </w:rPr>
              <w:t>служители в МИГ</w:t>
            </w:r>
            <w:r w:rsidR="001A3869">
              <w:rPr>
                <w:rFonts w:ascii="Times New Roman" w:hAnsi="Times New Roman" w:cs="Times New Roman"/>
                <w:sz w:val="24"/>
                <w:szCs w:val="24"/>
                <w:shd w:val="clear" w:color="auto" w:fill="FEFEFE"/>
              </w:rPr>
              <w:t xml:space="preserve"> и надвишаващи 4 минимални работни заплати за страната на месец за позицията „изпълнителен директор“ и 3 за позицията „експерт“</w:t>
            </w:r>
            <w:bookmarkStart w:id="0" w:name="_GoBack"/>
            <w:bookmarkEnd w:id="0"/>
            <w:r w:rsidR="001A0B05" w:rsidRPr="00720BC2">
              <w:rPr>
                <w:rFonts w:ascii="Times New Roman" w:hAnsi="Times New Roman" w:cs="Times New Roman"/>
                <w:sz w:val="24"/>
                <w:szCs w:val="24"/>
                <w:shd w:val="clear" w:color="auto" w:fill="FEFEFE"/>
              </w:rPr>
              <w:t>;</w:t>
            </w:r>
          </w:p>
          <w:p w14:paraId="4F6C286F" w14:textId="331E2BA6"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.1</w:t>
            </w:r>
            <w:r w:rsidR="00AF5FD7">
              <w:rPr>
                <w:rFonts w:ascii="Times New Roman" w:hAnsi="Times New Roman" w:cs="Times New Roman"/>
                <w:sz w:val="24"/>
                <w:szCs w:val="24"/>
                <w:shd w:val="clear" w:color="auto" w:fill="FEFEFE"/>
              </w:rPr>
              <w:t>0</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за нощувки в страната, надвишаващи 1</w:t>
            </w:r>
            <w:r w:rsidR="00E64542">
              <w:rPr>
                <w:rFonts w:ascii="Times New Roman" w:hAnsi="Times New Roman" w:cs="Times New Roman"/>
                <w:sz w:val="24"/>
                <w:szCs w:val="24"/>
                <w:shd w:val="clear" w:color="auto" w:fill="FEFEFE"/>
              </w:rPr>
              <w:t>2</w:t>
            </w:r>
            <w:r w:rsidRPr="00720BC2">
              <w:rPr>
                <w:rFonts w:ascii="Times New Roman" w:hAnsi="Times New Roman" w:cs="Times New Roman"/>
                <w:sz w:val="24"/>
                <w:szCs w:val="24"/>
                <w:shd w:val="clear" w:color="auto" w:fill="FEFEFE"/>
              </w:rPr>
              <w:t>0 лв. за един човек</w:t>
            </w:r>
            <w:r w:rsidR="00E64542">
              <w:rPr>
                <w:rFonts w:ascii="Times New Roman" w:hAnsi="Times New Roman" w:cs="Times New Roman"/>
                <w:sz w:val="24"/>
                <w:szCs w:val="24"/>
                <w:shd w:val="clear" w:color="auto" w:fill="FEFEFE"/>
              </w:rPr>
              <w:t xml:space="preserve"> и разходи, на</w:t>
            </w:r>
            <w:r w:rsidR="00772ACF">
              <w:rPr>
                <w:rFonts w:ascii="Times New Roman" w:hAnsi="Times New Roman" w:cs="Times New Roman"/>
                <w:sz w:val="24"/>
                <w:szCs w:val="24"/>
                <w:shd w:val="clear" w:color="auto" w:fill="FEFEFE"/>
              </w:rPr>
              <w:t>д</w:t>
            </w:r>
            <w:r w:rsidR="00E64542">
              <w:rPr>
                <w:rFonts w:ascii="Times New Roman" w:hAnsi="Times New Roman" w:cs="Times New Roman"/>
                <w:sz w:val="24"/>
                <w:szCs w:val="24"/>
                <w:shd w:val="clear" w:color="auto" w:fill="FEFEFE"/>
              </w:rPr>
              <w:t xml:space="preserve">вишаващи определените в </w:t>
            </w:r>
            <w:r w:rsidR="00E64542" w:rsidRPr="00E64542">
              <w:rPr>
                <w:rFonts w:ascii="Times New Roman" w:hAnsi="Times New Roman" w:cs="Times New Roman"/>
                <w:sz w:val="24"/>
                <w:szCs w:val="24"/>
                <w:shd w:val="clear" w:color="auto" w:fill="FEFEFE"/>
              </w:rPr>
              <w:t>Наредбата за командировките в страната, приета с Постановление № 72 на Министерския съвет от 1986 г. (</w:t>
            </w:r>
            <w:proofErr w:type="spellStart"/>
            <w:r w:rsidR="009B4FE4">
              <w:rPr>
                <w:rFonts w:ascii="Times New Roman" w:hAnsi="Times New Roman" w:cs="Times New Roman"/>
                <w:sz w:val="24"/>
                <w:szCs w:val="24"/>
                <w:shd w:val="clear" w:color="auto" w:fill="FEFEFE"/>
              </w:rPr>
              <w:t>Обн</w:t>
            </w:r>
            <w:proofErr w:type="spellEnd"/>
            <w:r w:rsidR="009B4FE4">
              <w:rPr>
                <w:rFonts w:ascii="Times New Roman" w:hAnsi="Times New Roman" w:cs="Times New Roman"/>
                <w:sz w:val="24"/>
                <w:szCs w:val="24"/>
                <w:shd w:val="clear" w:color="auto" w:fill="FEFEFE"/>
              </w:rPr>
              <w:t>.</w:t>
            </w:r>
            <w:r w:rsidR="00AC24B6">
              <w:rPr>
                <w:rFonts w:ascii="Times New Roman" w:hAnsi="Times New Roman" w:cs="Times New Roman"/>
                <w:sz w:val="24"/>
                <w:szCs w:val="24"/>
                <w:shd w:val="clear" w:color="auto" w:fill="FEFEFE"/>
              </w:rPr>
              <w:t>,</w:t>
            </w:r>
            <w:r w:rsidR="009B4FE4">
              <w:rPr>
                <w:rFonts w:ascii="Times New Roman" w:hAnsi="Times New Roman" w:cs="Times New Roman"/>
                <w:sz w:val="24"/>
                <w:szCs w:val="24"/>
                <w:shd w:val="clear" w:color="auto" w:fill="FEFEFE"/>
              </w:rPr>
              <w:t xml:space="preserve"> </w:t>
            </w:r>
            <w:r w:rsidR="00E64542" w:rsidRPr="00E64542">
              <w:rPr>
                <w:rFonts w:ascii="Times New Roman" w:hAnsi="Times New Roman" w:cs="Times New Roman"/>
                <w:sz w:val="24"/>
                <w:szCs w:val="24"/>
                <w:shd w:val="clear" w:color="auto" w:fill="FEFEFE"/>
              </w:rPr>
              <w:t>ДВ, бр. 11 от 1987 г.)</w:t>
            </w:r>
            <w:r w:rsidRPr="00720BC2">
              <w:rPr>
                <w:rFonts w:ascii="Times New Roman" w:hAnsi="Times New Roman" w:cs="Times New Roman"/>
                <w:sz w:val="24"/>
                <w:szCs w:val="24"/>
                <w:shd w:val="clear" w:color="auto" w:fill="FEFEFE"/>
              </w:rPr>
              <w:t xml:space="preserve">; </w:t>
            </w:r>
          </w:p>
          <w:p w14:paraId="03581507" w14:textId="6C91FA83"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.1</w:t>
            </w:r>
            <w:r w:rsidR="00AF5FD7">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 xml:space="preserve">платени в брой, с изключение на разходите за командировки, за гориво за лек автомобил, за разходи, свързани с публични отношения, за разходи за участие на МИГ в дейности на Националната и на Европейската селска мрежа за развитие на селските райони, както и на Европейската ЛИДЕР асоциация и други асоциации на МИГ, разходи за </w:t>
            </w:r>
            <w:r w:rsidRPr="00720BC2">
              <w:rPr>
                <w:rFonts w:ascii="Times New Roman" w:hAnsi="Times New Roman" w:cs="Times New Roman"/>
                <w:sz w:val="24"/>
                <w:szCs w:val="24"/>
                <w:shd w:val="clear" w:color="auto" w:fill="FEFEFE"/>
              </w:rPr>
              <w:lastRenderedPageBreak/>
              <w:t xml:space="preserve">комуникация и външни услуги – телефон, интернет, пощенски услуги, куриерски услуги, топло- и електроенергия, вода, както и разходи за техническо обслужване на автомобил и годишни винетни такси, </w:t>
            </w:r>
            <w:proofErr w:type="spellStart"/>
            <w:r w:rsidRPr="00720BC2">
              <w:rPr>
                <w:rFonts w:ascii="Times New Roman" w:hAnsi="Times New Roman" w:cs="Times New Roman"/>
                <w:sz w:val="24"/>
                <w:szCs w:val="24"/>
                <w:shd w:val="clear" w:color="auto" w:fill="FEFEFE"/>
              </w:rPr>
              <w:t>такси</w:t>
            </w:r>
            <w:proofErr w:type="spellEnd"/>
            <w:r w:rsidRPr="00720BC2">
              <w:rPr>
                <w:rFonts w:ascii="Times New Roman" w:hAnsi="Times New Roman" w:cs="Times New Roman"/>
                <w:sz w:val="24"/>
                <w:szCs w:val="24"/>
                <w:shd w:val="clear" w:color="auto" w:fill="FEFEFE"/>
              </w:rPr>
              <w:t xml:space="preserve"> за издаване на изискуеми документи и разходи за застрахователни премии</w:t>
            </w:r>
            <w:r w:rsidR="00CC0173">
              <w:rPr>
                <w:rFonts w:ascii="Times New Roman" w:hAnsi="Times New Roman" w:cs="Times New Roman"/>
                <w:sz w:val="24"/>
                <w:szCs w:val="24"/>
                <w:shd w:val="clear" w:color="auto" w:fill="FEFEFE"/>
              </w:rPr>
              <w:t xml:space="preserve">, </w:t>
            </w:r>
            <w:r w:rsidR="00CC0173" w:rsidRPr="00CC0173">
              <w:rPr>
                <w:rFonts w:ascii="Times New Roman" w:hAnsi="Times New Roman" w:cs="Times New Roman"/>
                <w:sz w:val="24"/>
                <w:szCs w:val="24"/>
                <w:shd w:val="clear" w:color="auto" w:fill="FEFEFE"/>
              </w:rPr>
              <w:t>както и за опростени разходи съгласно чл. 83, ал. 1, букви "б", "в" и "г" от Регламент (ЕС) 2021/2115 на Европейския парламент и на Съвета от 2 декември 2021 година</w:t>
            </w:r>
            <w:r w:rsidRPr="00720BC2">
              <w:rPr>
                <w:rFonts w:ascii="Times New Roman" w:hAnsi="Times New Roman" w:cs="Times New Roman"/>
                <w:sz w:val="24"/>
                <w:szCs w:val="24"/>
                <w:shd w:val="clear" w:color="auto" w:fill="FEFEFE"/>
              </w:rPr>
              <w:t>;</w:t>
            </w:r>
          </w:p>
          <w:p w14:paraId="652B53D4" w14:textId="0E96ABDF"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.1</w:t>
            </w:r>
            <w:r w:rsidR="00AF5FD7">
              <w:rPr>
                <w:rFonts w:ascii="Times New Roman" w:hAnsi="Times New Roman" w:cs="Times New Roman"/>
                <w:sz w:val="24"/>
                <w:szCs w:val="24"/>
                <w:shd w:val="clear" w:color="auto" w:fill="FEFEFE"/>
              </w:rPr>
              <w:t>2</w:t>
            </w:r>
            <w:r>
              <w:rPr>
                <w:rFonts w:ascii="Times New Roman" w:hAnsi="Times New Roman" w:cs="Times New Roman"/>
                <w:sz w:val="24"/>
                <w:szCs w:val="24"/>
                <w:shd w:val="clear" w:color="auto" w:fill="FEFEFE"/>
              </w:rPr>
              <w:t xml:space="preserve">. </w:t>
            </w:r>
            <w:r w:rsidR="000F1FBC">
              <w:rPr>
                <w:rFonts w:ascii="Times New Roman" w:hAnsi="Times New Roman" w:cs="Times New Roman"/>
                <w:sz w:val="24"/>
                <w:szCs w:val="24"/>
                <w:shd w:val="clear" w:color="auto" w:fill="FEFEFE"/>
              </w:rPr>
              <w:t xml:space="preserve">дневни </w:t>
            </w:r>
            <w:r w:rsidR="00E36611">
              <w:rPr>
                <w:rFonts w:ascii="Times New Roman" w:hAnsi="Times New Roman" w:cs="Times New Roman"/>
                <w:sz w:val="24"/>
                <w:szCs w:val="24"/>
                <w:shd w:val="clear" w:color="auto" w:fill="FEFEFE"/>
              </w:rPr>
              <w:t xml:space="preserve">пари </w:t>
            </w:r>
            <w:r w:rsidRPr="00720BC2">
              <w:rPr>
                <w:rFonts w:ascii="Times New Roman" w:hAnsi="Times New Roman" w:cs="Times New Roman"/>
                <w:sz w:val="24"/>
                <w:szCs w:val="24"/>
                <w:shd w:val="clear" w:color="auto" w:fill="FEFEFE"/>
              </w:rPr>
              <w:t xml:space="preserve">за командировки в чужбина, надвишаващи определените в </w:t>
            </w:r>
            <w:r w:rsidR="000F1FBC">
              <w:rPr>
                <w:rFonts w:ascii="Times New Roman" w:hAnsi="Times New Roman" w:cs="Times New Roman"/>
                <w:sz w:val="24"/>
                <w:szCs w:val="24"/>
                <w:shd w:val="clear" w:color="auto" w:fill="FEFEFE"/>
              </w:rPr>
              <w:t xml:space="preserve">Приложение № 2 на </w:t>
            </w:r>
            <w:r w:rsidRPr="00720BC2">
              <w:rPr>
                <w:rFonts w:ascii="Times New Roman" w:hAnsi="Times New Roman" w:cs="Times New Roman"/>
                <w:sz w:val="24"/>
                <w:szCs w:val="24"/>
                <w:shd w:val="clear" w:color="auto" w:fill="FEFEFE"/>
              </w:rPr>
              <w:t>Наредбата за служебните командировки и специализациите в чужбина, приета с ПМС № 115 от 2004 г.;</w:t>
            </w:r>
          </w:p>
          <w:p w14:paraId="4A3BE540" w14:textId="14143206"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.1</w:t>
            </w:r>
            <w:r w:rsidR="00AF5FD7">
              <w:rPr>
                <w:rFonts w:ascii="Times New Roman" w:hAnsi="Times New Roman" w:cs="Times New Roman"/>
                <w:sz w:val="24"/>
                <w:szCs w:val="24"/>
                <w:shd w:val="clear" w:color="auto" w:fill="FEFEFE"/>
              </w:rPr>
              <w:t>3</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 xml:space="preserve">за създаване на </w:t>
            </w:r>
            <w:r w:rsidR="00EE4F2A">
              <w:rPr>
                <w:rFonts w:ascii="Times New Roman" w:hAnsi="Times New Roman" w:cs="Times New Roman"/>
                <w:sz w:val="24"/>
                <w:szCs w:val="24"/>
                <w:shd w:val="clear" w:color="auto" w:fill="FEFEFE"/>
              </w:rPr>
              <w:t xml:space="preserve">повече от една </w:t>
            </w:r>
            <w:r w:rsidRPr="00720BC2">
              <w:rPr>
                <w:rFonts w:ascii="Times New Roman" w:hAnsi="Times New Roman" w:cs="Times New Roman"/>
                <w:sz w:val="24"/>
                <w:szCs w:val="24"/>
                <w:shd w:val="clear" w:color="auto" w:fill="FEFEFE"/>
              </w:rPr>
              <w:t xml:space="preserve">интернет страница за МИГ за </w:t>
            </w:r>
            <w:r w:rsidR="00EE4F2A">
              <w:rPr>
                <w:rFonts w:ascii="Times New Roman" w:hAnsi="Times New Roman" w:cs="Times New Roman"/>
                <w:sz w:val="24"/>
                <w:szCs w:val="24"/>
                <w:shd w:val="clear" w:color="auto" w:fill="FEFEFE"/>
              </w:rPr>
              <w:t>периода на изпълнение на стратегията</w:t>
            </w:r>
            <w:r w:rsidRPr="00720BC2">
              <w:rPr>
                <w:rFonts w:ascii="Times New Roman" w:hAnsi="Times New Roman" w:cs="Times New Roman"/>
                <w:sz w:val="24"/>
                <w:szCs w:val="24"/>
                <w:shd w:val="clear" w:color="auto" w:fill="FEFEFE"/>
              </w:rPr>
              <w:t>;</w:t>
            </w:r>
          </w:p>
          <w:p w14:paraId="76D69E0A" w14:textId="418D8366"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.1</w:t>
            </w:r>
            <w:r w:rsidR="00AF5FD7">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за закупуване на лек автомобил, извършени след 202</w:t>
            </w:r>
            <w:r w:rsidR="006B57A0">
              <w:rPr>
                <w:rFonts w:ascii="Times New Roman" w:hAnsi="Times New Roman" w:cs="Times New Roman"/>
                <w:sz w:val="24"/>
                <w:szCs w:val="24"/>
                <w:shd w:val="clear" w:color="auto" w:fill="FEFEFE"/>
              </w:rPr>
              <w:t>6</w:t>
            </w:r>
            <w:r w:rsidRPr="00720BC2">
              <w:rPr>
                <w:rFonts w:ascii="Times New Roman" w:hAnsi="Times New Roman" w:cs="Times New Roman"/>
                <w:sz w:val="24"/>
                <w:szCs w:val="24"/>
                <w:shd w:val="clear" w:color="auto" w:fill="FEFEFE"/>
              </w:rPr>
              <w:t xml:space="preserve"> г.;</w:t>
            </w:r>
          </w:p>
          <w:p w14:paraId="2279E503" w14:textId="6CF6A8E2"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.1</w:t>
            </w:r>
            <w:r w:rsidR="00AF5FD7">
              <w:rPr>
                <w:rFonts w:ascii="Times New Roman" w:hAnsi="Times New Roman" w:cs="Times New Roman"/>
                <w:sz w:val="24"/>
                <w:szCs w:val="24"/>
                <w:shd w:val="clear" w:color="auto" w:fill="FEFEFE"/>
              </w:rPr>
              <w:t>5</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за външни услуги и оценка на проекти, извършени от лица, участвали в комисия за избор на стратегии по СПРЗСР, в т. ч. когато такива лица са представители на или са експерти от юридически лица;</w:t>
            </w:r>
          </w:p>
          <w:p w14:paraId="395375D6" w14:textId="4DB9D538"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.1</w:t>
            </w:r>
            <w:r w:rsidR="00AF5FD7">
              <w:rPr>
                <w:rFonts w:ascii="Times New Roman" w:hAnsi="Times New Roman" w:cs="Times New Roman"/>
                <w:sz w:val="24"/>
                <w:szCs w:val="24"/>
                <w:shd w:val="clear" w:color="auto" w:fill="FEFEFE"/>
              </w:rPr>
              <w:t>6</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за възнаграждения и осигуровки за извършване на външни експертни услуги и оценка на проекти на служители в същата или в друга МИГ;</w:t>
            </w:r>
          </w:p>
          <w:p w14:paraId="51DC7319" w14:textId="7DA3C2FA"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.1</w:t>
            </w:r>
            <w:r w:rsidR="00AF5FD7">
              <w:rPr>
                <w:rFonts w:ascii="Times New Roman" w:hAnsi="Times New Roman" w:cs="Times New Roman"/>
                <w:sz w:val="24"/>
                <w:szCs w:val="24"/>
                <w:shd w:val="clear" w:color="auto" w:fill="FEFEFE"/>
              </w:rPr>
              <w:t>7</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 xml:space="preserve">за възнаграждения и осигуровки за председател и секретар на </w:t>
            </w:r>
            <w:r w:rsidR="009B4FE4" w:rsidRPr="009B4FE4">
              <w:rPr>
                <w:rFonts w:ascii="Times New Roman" w:hAnsi="Times New Roman" w:cs="Times New Roman"/>
                <w:sz w:val="24"/>
                <w:szCs w:val="24"/>
                <w:shd w:val="clear" w:color="auto" w:fill="FEFEFE"/>
              </w:rPr>
              <w:t xml:space="preserve">Комисия за </w:t>
            </w:r>
            <w:r w:rsidR="009B4FE4">
              <w:rPr>
                <w:rFonts w:ascii="Times New Roman" w:hAnsi="Times New Roman" w:cs="Times New Roman"/>
                <w:sz w:val="24"/>
                <w:szCs w:val="24"/>
                <w:shd w:val="clear" w:color="auto" w:fill="FEFEFE"/>
              </w:rPr>
              <w:t xml:space="preserve">подбор </w:t>
            </w:r>
            <w:r w:rsidR="009B4FE4" w:rsidRPr="009B4FE4">
              <w:rPr>
                <w:rFonts w:ascii="Times New Roman" w:hAnsi="Times New Roman" w:cs="Times New Roman"/>
                <w:sz w:val="24"/>
                <w:szCs w:val="24"/>
                <w:shd w:val="clear" w:color="auto" w:fill="FEFEFE"/>
              </w:rPr>
              <w:t>на проектни предложения</w:t>
            </w:r>
            <w:r w:rsidRPr="00720BC2">
              <w:rPr>
                <w:rFonts w:ascii="Times New Roman" w:hAnsi="Times New Roman" w:cs="Times New Roman"/>
                <w:sz w:val="24"/>
                <w:szCs w:val="24"/>
                <w:shd w:val="clear" w:color="auto" w:fill="FEFEFE"/>
              </w:rPr>
              <w:t>, когато същите са служители на МИГ;</w:t>
            </w:r>
          </w:p>
          <w:p w14:paraId="0A3ABFF7" w14:textId="0F54A6F0" w:rsidR="003D3DF4" w:rsidRDefault="00720BC2" w:rsidP="00044F85">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w:t>
            </w:r>
            <w:r w:rsidR="00AF5FD7">
              <w:rPr>
                <w:rFonts w:ascii="Times New Roman" w:hAnsi="Times New Roman" w:cs="Times New Roman"/>
                <w:sz w:val="24"/>
                <w:szCs w:val="24"/>
                <w:shd w:val="clear" w:color="auto" w:fill="FEFEFE"/>
              </w:rPr>
              <w:t>18</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 xml:space="preserve">за повече от </w:t>
            </w:r>
            <w:r w:rsidR="00820BF9">
              <w:rPr>
                <w:rFonts w:ascii="Times New Roman" w:hAnsi="Times New Roman" w:cs="Times New Roman"/>
                <w:sz w:val="24"/>
                <w:szCs w:val="24"/>
                <w:shd w:val="clear" w:color="auto" w:fill="FEFEFE"/>
              </w:rPr>
              <w:t>3</w:t>
            </w:r>
            <w:r w:rsidRPr="00720BC2">
              <w:rPr>
                <w:rFonts w:ascii="Times New Roman" w:hAnsi="Times New Roman" w:cs="Times New Roman"/>
                <w:sz w:val="24"/>
                <w:szCs w:val="24"/>
                <w:shd w:val="clear" w:color="auto" w:fill="FEFEFE"/>
              </w:rPr>
              <w:t xml:space="preserve"> бр. проучвания и</w:t>
            </w:r>
            <w:r w:rsidR="00A96A8B">
              <w:rPr>
                <w:rFonts w:ascii="Times New Roman" w:hAnsi="Times New Roman" w:cs="Times New Roman"/>
                <w:sz w:val="24"/>
                <w:szCs w:val="24"/>
                <w:shd w:val="clear" w:color="auto" w:fill="FEFEFE"/>
                <w:lang w:val="en-GB"/>
              </w:rPr>
              <w:t>/</w:t>
            </w:r>
            <w:r w:rsidR="00A96A8B">
              <w:rPr>
                <w:rFonts w:ascii="Times New Roman" w:hAnsi="Times New Roman" w:cs="Times New Roman"/>
                <w:sz w:val="24"/>
                <w:szCs w:val="24"/>
                <w:shd w:val="clear" w:color="auto" w:fill="FEFEFE"/>
              </w:rPr>
              <w:t>или</w:t>
            </w:r>
            <w:r w:rsidRPr="00720BC2">
              <w:rPr>
                <w:rFonts w:ascii="Times New Roman" w:hAnsi="Times New Roman" w:cs="Times New Roman"/>
                <w:sz w:val="24"/>
                <w:szCs w:val="24"/>
                <w:shd w:val="clear" w:color="auto" w:fill="FEFEFE"/>
              </w:rPr>
              <w:t xml:space="preserve"> анализи за годишно</w:t>
            </w:r>
            <w:r w:rsidR="003D3DF4">
              <w:rPr>
                <w:rFonts w:ascii="Times New Roman" w:hAnsi="Times New Roman" w:cs="Times New Roman"/>
                <w:sz w:val="24"/>
                <w:szCs w:val="24"/>
                <w:shd w:val="clear" w:color="auto" w:fill="FEFEFE"/>
              </w:rPr>
              <w:t>;</w:t>
            </w:r>
          </w:p>
          <w:p w14:paraId="37ADE8DF" w14:textId="5DE677F2" w:rsidR="00EF34D0" w:rsidRDefault="003D3DF4" w:rsidP="00044F85">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w:t>
            </w:r>
            <w:proofErr w:type="spellStart"/>
            <w:r>
              <w:rPr>
                <w:rFonts w:ascii="Times New Roman" w:hAnsi="Times New Roman" w:cs="Times New Roman"/>
                <w:sz w:val="24"/>
                <w:szCs w:val="24"/>
                <w:shd w:val="clear" w:color="auto" w:fill="FEFEFE"/>
              </w:rPr>
              <w:t>2</w:t>
            </w:r>
            <w:proofErr w:type="spellEnd"/>
            <w:r>
              <w:rPr>
                <w:rFonts w:ascii="Times New Roman" w:hAnsi="Times New Roman" w:cs="Times New Roman"/>
                <w:sz w:val="24"/>
                <w:szCs w:val="24"/>
                <w:shd w:val="clear" w:color="auto" w:fill="FEFEFE"/>
              </w:rPr>
              <w:t xml:space="preserve">.19. разходи за информираност и публичност, които не отговарят на изискванията, посочени в </w:t>
            </w:r>
            <w:r w:rsidRPr="003D3DF4">
              <w:rPr>
                <w:rFonts w:ascii="Times New Roman" w:hAnsi="Times New Roman" w:cs="Times New Roman"/>
                <w:sz w:val="24"/>
                <w:szCs w:val="24"/>
                <w:shd w:val="clear" w:color="auto" w:fill="FEFEFE"/>
              </w:rPr>
              <w:t>Единния наръчник на бенефициента за прилагане на правилата за информация и комуникация 2021-2027 г., съгласно приложение № 1 от Националната комуникационна стратегия за програмен период 2021-2027 г.</w:t>
            </w:r>
            <w:r>
              <w:rPr>
                <w:rFonts w:ascii="Times New Roman" w:hAnsi="Times New Roman" w:cs="Times New Roman"/>
                <w:sz w:val="24"/>
                <w:szCs w:val="24"/>
                <w:shd w:val="clear" w:color="auto" w:fill="FEFEFE"/>
              </w:rPr>
              <w:t xml:space="preserve"> </w:t>
            </w:r>
          </w:p>
          <w:p w14:paraId="25CB935F" w14:textId="77777777" w:rsidR="00EF34D0" w:rsidRDefault="00EF34D0" w:rsidP="007541D6">
            <w:pPr>
              <w:spacing w:line="276" w:lineRule="auto"/>
              <w:ind w:firstLine="567"/>
              <w:jc w:val="both"/>
              <w:rPr>
                <w:rFonts w:ascii="Times New Roman" w:hAnsi="Times New Roman" w:cs="Times New Roman"/>
                <w:sz w:val="24"/>
                <w:szCs w:val="24"/>
                <w:shd w:val="clear" w:color="auto" w:fill="FEFEFE"/>
              </w:rPr>
            </w:pPr>
          </w:p>
          <w:p w14:paraId="5EA9DE33" w14:textId="762A04CA" w:rsid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14.2.3. </w:t>
            </w:r>
            <w:r w:rsidRPr="00720BC2">
              <w:rPr>
                <w:rFonts w:ascii="Times New Roman" w:hAnsi="Times New Roman" w:cs="Times New Roman"/>
                <w:sz w:val="24"/>
                <w:szCs w:val="24"/>
                <w:shd w:val="clear" w:color="auto" w:fill="FEFEFE"/>
              </w:rPr>
              <w:t xml:space="preserve">За дейностите по </w:t>
            </w:r>
            <w:r>
              <w:rPr>
                <w:rFonts w:ascii="Times New Roman" w:hAnsi="Times New Roman" w:cs="Times New Roman"/>
                <w:sz w:val="24"/>
                <w:szCs w:val="24"/>
                <w:shd w:val="clear" w:color="auto" w:fill="FEFEFE"/>
              </w:rPr>
              <w:t>сътрудничество и подготвителни дейности за него</w:t>
            </w:r>
            <w:r w:rsidRPr="00720BC2">
              <w:rPr>
                <w:rFonts w:ascii="Times New Roman" w:hAnsi="Times New Roman" w:cs="Times New Roman"/>
                <w:sz w:val="24"/>
                <w:szCs w:val="24"/>
                <w:shd w:val="clear" w:color="auto" w:fill="FEFEFE"/>
              </w:rPr>
              <w:t>, не са допустими разходи за</w:t>
            </w:r>
            <w:r w:rsidRPr="00FB202F">
              <w:rPr>
                <w:rFonts w:ascii="Times New Roman" w:hAnsi="Times New Roman" w:cs="Times New Roman"/>
                <w:sz w:val="24"/>
                <w:szCs w:val="24"/>
                <w:shd w:val="clear" w:color="auto" w:fill="FEFEFE"/>
              </w:rPr>
              <w:t>:</w:t>
            </w:r>
          </w:p>
          <w:p w14:paraId="543D7E07" w14:textId="60EB6FEB"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14.2.3.1.</w:t>
            </w:r>
            <w:r w:rsidRPr="00720BC2">
              <w:rPr>
                <w:rFonts w:ascii="Times New Roman" w:hAnsi="Times New Roman" w:cs="Times New Roman"/>
                <w:sz w:val="24"/>
                <w:szCs w:val="24"/>
                <w:shd w:val="clear" w:color="auto" w:fill="FEFEFE"/>
              </w:rPr>
              <w:t xml:space="preserve"> разходи, за които е получено финансиране от националния бюджет или бюджета на Европейския съюз, в т.ч. по подмярка 19.4 „Текущи разходи и популяризиране на стратегия за Водено от общностите местно развитие“ от ПРСР 2014 – 2020 г.;</w:t>
            </w:r>
          </w:p>
          <w:p w14:paraId="5618BC7E" w14:textId="3D94F631"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w:t>
            </w:r>
            <w:r w:rsidR="00D13953">
              <w:rPr>
                <w:rFonts w:ascii="Times New Roman" w:hAnsi="Times New Roman" w:cs="Times New Roman"/>
                <w:sz w:val="24"/>
                <w:szCs w:val="24"/>
                <w:shd w:val="clear" w:color="auto" w:fill="FEFEFE"/>
              </w:rPr>
              <w:t>2</w:t>
            </w:r>
            <w:r>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 xml:space="preserve"> разходи за обикновена подмяна;</w:t>
            </w:r>
          </w:p>
          <w:p w14:paraId="0E040179" w14:textId="5BA71D37"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w:t>
            </w:r>
            <w:proofErr w:type="spellStart"/>
            <w:r w:rsidR="00D13953">
              <w:rPr>
                <w:rFonts w:ascii="Times New Roman" w:hAnsi="Times New Roman" w:cs="Times New Roman"/>
                <w:sz w:val="24"/>
                <w:szCs w:val="24"/>
                <w:shd w:val="clear" w:color="auto" w:fill="FEFEFE"/>
              </w:rPr>
              <w:t>3</w:t>
            </w:r>
            <w:proofErr w:type="spellEnd"/>
            <w:r>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 xml:space="preserve"> закупуване на животни;</w:t>
            </w:r>
          </w:p>
          <w:p w14:paraId="4AB92E50" w14:textId="3518AE28"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w:t>
            </w:r>
            <w:r w:rsidR="00D13953">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 xml:space="preserve"> закупуване на едногодишни растения;</w:t>
            </w:r>
          </w:p>
          <w:p w14:paraId="3D32851C" w14:textId="0EDE12F2"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w:t>
            </w:r>
            <w:r w:rsidR="00D13953">
              <w:rPr>
                <w:rFonts w:ascii="Times New Roman" w:hAnsi="Times New Roman" w:cs="Times New Roman"/>
                <w:sz w:val="24"/>
                <w:szCs w:val="24"/>
                <w:shd w:val="clear" w:color="auto" w:fill="FEFEFE"/>
              </w:rPr>
              <w:t>5</w:t>
            </w:r>
            <w:r>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 xml:space="preserve"> закупуване на земя и сгради;</w:t>
            </w:r>
          </w:p>
          <w:p w14:paraId="5629590A" w14:textId="78897C4B"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w:t>
            </w:r>
            <w:r w:rsidR="00D13953">
              <w:rPr>
                <w:rFonts w:ascii="Times New Roman" w:hAnsi="Times New Roman" w:cs="Times New Roman"/>
                <w:sz w:val="24"/>
                <w:szCs w:val="24"/>
                <w:shd w:val="clear" w:color="auto" w:fill="FEFEFE"/>
              </w:rPr>
              <w:t>6</w:t>
            </w:r>
            <w:r>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 xml:space="preserve"> принос в натура;</w:t>
            </w:r>
          </w:p>
          <w:p w14:paraId="25A2DF07" w14:textId="2E294A6D"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w:t>
            </w:r>
            <w:r w:rsidR="00D13953">
              <w:rPr>
                <w:rFonts w:ascii="Times New Roman" w:hAnsi="Times New Roman" w:cs="Times New Roman"/>
                <w:sz w:val="24"/>
                <w:szCs w:val="24"/>
                <w:shd w:val="clear" w:color="auto" w:fill="FEFEFE"/>
              </w:rPr>
              <w:t>7</w:t>
            </w:r>
            <w:r>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 xml:space="preserve"> разходи, платени в брой (с изключение на разходите за командировки, пощенски и куриерски услуги, такси за издаване на изискуеми документи и разходи за застрахователни премии)</w:t>
            </w:r>
            <w:r w:rsidR="00CC0173">
              <w:rPr>
                <w:rFonts w:ascii="Times New Roman" w:hAnsi="Times New Roman" w:cs="Times New Roman"/>
                <w:sz w:val="24"/>
                <w:szCs w:val="24"/>
                <w:shd w:val="clear" w:color="auto" w:fill="FEFEFE"/>
              </w:rPr>
              <w:t xml:space="preserve">, </w:t>
            </w:r>
            <w:r w:rsidR="00CC0173" w:rsidRPr="00CC0173">
              <w:rPr>
                <w:rFonts w:ascii="Times New Roman" w:hAnsi="Times New Roman" w:cs="Times New Roman"/>
                <w:sz w:val="24"/>
                <w:szCs w:val="24"/>
                <w:shd w:val="clear" w:color="auto" w:fill="FEFEFE"/>
              </w:rPr>
              <w:t>както и за опростени разходи съгласно чл. 83, ал. 1, букви "б", "в" и "г" от Регламент (ЕС) 2021/2115 на Европейския парламент и на Съвета от 2 декември 2021 година)</w:t>
            </w:r>
            <w:r w:rsidRPr="00720BC2">
              <w:rPr>
                <w:rFonts w:ascii="Times New Roman" w:hAnsi="Times New Roman" w:cs="Times New Roman"/>
                <w:sz w:val="24"/>
                <w:szCs w:val="24"/>
                <w:shd w:val="clear" w:color="auto" w:fill="FEFEFE"/>
              </w:rPr>
              <w:t>;</w:t>
            </w:r>
          </w:p>
          <w:p w14:paraId="7452C9E9" w14:textId="33F9CC07"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w:t>
            </w:r>
            <w:r w:rsidR="00D13953">
              <w:rPr>
                <w:rFonts w:ascii="Times New Roman" w:hAnsi="Times New Roman" w:cs="Times New Roman"/>
                <w:sz w:val="24"/>
                <w:szCs w:val="24"/>
                <w:shd w:val="clear" w:color="auto" w:fill="FEFEFE"/>
              </w:rPr>
              <w:t>8</w:t>
            </w:r>
            <w:r>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 xml:space="preserve"> банкови такси; </w:t>
            </w:r>
            <w:r w:rsidRPr="00720BC2">
              <w:rPr>
                <w:rFonts w:ascii="Times New Roman" w:hAnsi="Times New Roman" w:cs="Times New Roman"/>
                <w:sz w:val="24"/>
                <w:szCs w:val="24"/>
                <w:shd w:val="clear" w:color="auto" w:fill="FEFEFE"/>
              </w:rPr>
              <w:tab/>
            </w:r>
          </w:p>
          <w:p w14:paraId="2718DC98" w14:textId="6F148F3E"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w:t>
            </w:r>
            <w:r w:rsidR="00D13953">
              <w:rPr>
                <w:rFonts w:ascii="Times New Roman" w:hAnsi="Times New Roman" w:cs="Times New Roman"/>
                <w:sz w:val="24"/>
                <w:szCs w:val="24"/>
                <w:shd w:val="clear" w:color="auto" w:fill="FEFEFE"/>
              </w:rPr>
              <w:t>9</w:t>
            </w:r>
            <w:r>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 xml:space="preserve"> </w:t>
            </w:r>
            <w:r w:rsidRPr="00D13953">
              <w:rPr>
                <w:rFonts w:ascii="Times New Roman" w:hAnsi="Times New Roman" w:cs="Times New Roman"/>
                <w:sz w:val="24"/>
                <w:szCs w:val="24"/>
                <w:shd w:val="clear" w:color="auto" w:fill="FEFEFE"/>
              </w:rPr>
              <w:t>заявени за финансиране разходи в частта им, която надвишава определените референтни стойности</w:t>
            </w:r>
            <w:r w:rsidR="00D13953" w:rsidRPr="007541D6">
              <w:rPr>
                <w:rFonts w:ascii="Times New Roman" w:hAnsi="Times New Roman" w:cs="Times New Roman"/>
                <w:sz w:val="24"/>
                <w:szCs w:val="24"/>
                <w:shd w:val="clear" w:color="auto" w:fill="FEFEFE"/>
              </w:rPr>
              <w:t xml:space="preserve"> когато има такива</w:t>
            </w:r>
            <w:r w:rsidRPr="00D13953">
              <w:rPr>
                <w:rFonts w:ascii="Times New Roman" w:hAnsi="Times New Roman" w:cs="Times New Roman"/>
                <w:sz w:val="24"/>
                <w:szCs w:val="24"/>
                <w:shd w:val="clear" w:color="auto" w:fill="FEFEFE"/>
              </w:rPr>
              <w:t>;</w:t>
            </w:r>
          </w:p>
          <w:p w14:paraId="7FD36AE3" w14:textId="1C24ABC5"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14.2.3.1</w:t>
            </w:r>
            <w:r w:rsidR="00D13953">
              <w:rPr>
                <w:rFonts w:ascii="Times New Roman" w:hAnsi="Times New Roman" w:cs="Times New Roman"/>
                <w:sz w:val="24"/>
                <w:szCs w:val="24"/>
                <w:shd w:val="clear" w:color="auto" w:fill="FEFEFE"/>
              </w:rPr>
              <w:t>0</w:t>
            </w:r>
            <w:r>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 xml:space="preserve"> възнаграждения, свързани с координация на дейностите, надвишаващи 10 на сто от </w:t>
            </w:r>
            <w:r w:rsidR="00361C46">
              <w:rPr>
                <w:rFonts w:ascii="Times New Roman" w:hAnsi="Times New Roman" w:cs="Times New Roman"/>
                <w:sz w:val="24"/>
                <w:szCs w:val="24"/>
                <w:shd w:val="clear" w:color="auto" w:fill="FEFEFE"/>
              </w:rPr>
              <w:t xml:space="preserve">стойността на допустимите разходи </w:t>
            </w:r>
            <w:r w:rsidRPr="00720BC2">
              <w:rPr>
                <w:rFonts w:ascii="Times New Roman" w:hAnsi="Times New Roman" w:cs="Times New Roman"/>
                <w:sz w:val="24"/>
                <w:szCs w:val="24"/>
                <w:shd w:val="clear" w:color="auto" w:fill="FEFEFE"/>
              </w:rPr>
              <w:t>за всяка МИГ, партньор по проекта;</w:t>
            </w:r>
          </w:p>
          <w:p w14:paraId="6CB88517" w14:textId="2FCA1A77"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14.2.3.1</w:t>
            </w:r>
            <w:r w:rsidR="00361C46">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 xml:space="preserve"> разходи, платени преди подаване на </w:t>
            </w:r>
            <w:r w:rsidR="00361C46">
              <w:rPr>
                <w:rFonts w:ascii="Times New Roman" w:hAnsi="Times New Roman" w:cs="Times New Roman"/>
                <w:sz w:val="24"/>
                <w:szCs w:val="24"/>
                <w:shd w:val="clear" w:color="auto" w:fill="FEFEFE"/>
              </w:rPr>
              <w:t xml:space="preserve">заявление за </w:t>
            </w:r>
            <w:r w:rsidR="0005576F">
              <w:rPr>
                <w:rFonts w:ascii="Times New Roman" w:hAnsi="Times New Roman" w:cs="Times New Roman"/>
                <w:sz w:val="24"/>
                <w:szCs w:val="24"/>
                <w:shd w:val="clear" w:color="auto" w:fill="FEFEFE"/>
              </w:rPr>
              <w:t>планирани</w:t>
            </w:r>
            <w:r w:rsidR="00361C46">
              <w:rPr>
                <w:rFonts w:ascii="Times New Roman" w:hAnsi="Times New Roman" w:cs="Times New Roman"/>
                <w:sz w:val="24"/>
                <w:szCs w:val="24"/>
                <w:shd w:val="clear" w:color="auto" w:fill="FEFEFE"/>
              </w:rPr>
              <w:t xml:space="preserve"> дейности за сътрудничество</w:t>
            </w:r>
            <w:r w:rsidRPr="00720BC2">
              <w:rPr>
                <w:rFonts w:ascii="Times New Roman" w:hAnsi="Times New Roman" w:cs="Times New Roman"/>
                <w:sz w:val="24"/>
                <w:szCs w:val="24"/>
                <w:shd w:val="clear" w:color="auto" w:fill="FEFEFE"/>
              </w:rPr>
              <w:t xml:space="preserve"> и след крайния срок за </w:t>
            </w:r>
            <w:r w:rsidR="0005576F">
              <w:rPr>
                <w:rFonts w:ascii="Times New Roman" w:hAnsi="Times New Roman" w:cs="Times New Roman"/>
                <w:sz w:val="24"/>
                <w:szCs w:val="24"/>
                <w:shd w:val="clear" w:color="auto" w:fill="FEFEFE"/>
              </w:rPr>
              <w:t>тяхното извършване</w:t>
            </w:r>
            <w:r w:rsidRPr="00720BC2">
              <w:rPr>
                <w:rFonts w:ascii="Times New Roman" w:hAnsi="Times New Roman" w:cs="Times New Roman"/>
                <w:sz w:val="24"/>
                <w:szCs w:val="24"/>
                <w:shd w:val="clear" w:color="auto" w:fill="FEFEFE"/>
              </w:rPr>
              <w:t>;</w:t>
            </w:r>
          </w:p>
          <w:p w14:paraId="7DD6C2A8" w14:textId="77662377"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14.2.3.1</w:t>
            </w:r>
            <w:r w:rsidR="0005576F">
              <w:rPr>
                <w:rFonts w:ascii="Times New Roman" w:hAnsi="Times New Roman" w:cs="Times New Roman"/>
                <w:sz w:val="24"/>
                <w:szCs w:val="24"/>
                <w:shd w:val="clear" w:color="auto" w:fill="FEFEFE"/>
              </w:rPr>
              <w:t>2</w:t>
            </w:r>
            <w:r>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 xml:space="preserve"> разходи за закупуване на транспортни средства;</w:t>
            </w:r>
          </w:p>
          <w:p w14:paraId="32F69840" w14:textId="246B7D13"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14.2.3.1</w:t>
            </w:r>
            <w:r w:rsidR="0005576F">
              <w:rPr>
                <w:rFonts w:ascii="Times New Roman" w:hAnsi="Times New Roman" w:cs="Times New Roman"/>
                <w:sz w:val="24"/>
                <w:szCs w:val="24"/>
                <w:shd w:val="clear" w:color="auto" w:fill="FEFEFE"/>
              </w:rPr>
              <w:t>3</w:t>
            </w:r>
            <w:r>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 xml:space="preserve"> разходи за изграждане и ремонт на места за настаняване;</w:t>
            </w:r>
          </w:p>
          <w:p w14:paraId="393B9469" w14:textId="2780CD70" w:rsidR="00720BC2" w:rsidRPr="00720BC2" w:rsidRDefault="00720BC2"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14.2.3.1</w:t>
            </w:r>
            <w:r w:rsidR="0005576F">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 xml:space="preserve"> разходи за информираност и публичност, които не отговарят на изискванията, посочени в Единния наръчник на бенефициента за прилагане на правилата за информация и комуникация 20</w:t>
            </w:r>
            <w:r w:rsidR="0005576F">
              <w:rPr>
                <w:rFonts w:ascii="Times New Roman" w:hAnsi="Times New Roman" w:cs="Times New Roman"/>
                <w:sz w:val="24"/>
                <w:szCs w:val="24"/>
                <w:shd w:val="clear" w:color="auto" w:fill="FEFEFE"/>
              </w:rPr>
              <w:t>2</w:t>
            </w:r>
            <w:r w:rsidRPr="00720BC2">
              <w:rPr>
                <w:rFonts w:ascii="Times New Roman" w:hAnsi="Times New Roman" w:cs="Times New Roman"/>
                <w:sz w:val="24"/>
                <w:szCs w:val="24"/>
                <w:shd w:val="clear" w:color="auto" w:fill="FEFEFE"/>
              </w:rPr>
              <w:t>1</w:t>
            </w:r>
            <w:r w:rsidR="0005576F">
              <w:rPr>
                <w:rFonts w:ascii="Times New Roman" w:hAnsi="Times New Roman" w:cs="Times New Roman"/>
                <w:sz w:val="24"/>
                <w:szCs w:val="24"/>
                <w:shd w:val="clear" w:color="auto" w:fill="FEFEFE"/>
              </w:rPr>
              <w:t>-</w:t>
            </w:r>
            <w:r w:rsidRPr="00720BC2">
              <w:rPr>
                <w:rFonts w:ascii="Times New Roman" w:hAnsi="Times New Roman" w:cs="Times New Roman"/>
                <w:sz w:val="24"/>
                <w:szCs w:val="24"/>
                <w:shd w:val="clear" w:color="auto" w:fill="FEFEFE"/>
              </w:rPr>
              <w:t>202</w:t>
            </w:r>
            <w:r w:rsidR="0005576F">
              <w:rPr>
                <w:rFonts w:ascii="Times New Roman" w:hAnsi="Times New Roman" w:cs="Times New Roman"/>
                <w:sz w:val="24"/>
                <w:szCs w:val="24"/>
                <w:shd w:val="clear" w:color="auto" w:fill="FEFEFE"/>
              </w:rPr>
              <w:t>7</w:t>
            </w:r>
            <w:r w:rsidRPr="00720BC2">
              <w:rPr>
                <w:rFonts w:ascii="Times New Roman" w:hAnsi="Times New Roman" w:cs="Times New Roman"/>
                <w:sz w:val="24"/>
                <w:szCs w:val="24"/>
                <w:shd w:val="clear" w:color="auto" w:fill="FEFEFE"/>
              </w:rPr>
              <w:t xml:space="preserve"> г., съгласно приложение № </w:t>
            </w:r>
            <w:r w:rsidR="0005576F">
              <w:rPr>
                <w:rFonts w:ascii="Times New Roman" w:hAnsi="Times New Roman" w:cs="Times New Roman"/>
                <w:sz w:val="24"/>
                <w:szCs w:val="24"/>
                <w:shd w:val="clear" w:color="auto" w:fill="FEFEFE"/>
              </w:rPr>
              <w:t>1</w:t>
            </w:r>
            <w:r w:rsidRPr="00720BC2">
              <w:rPr>
                <w:rFonts w:ascii="Times New Roman" w:hAnsi="Times New Roman" w:cs="Times New Roman"/>
                <w:sz w:val="24"/>
                <w:szCs w:val="24"/>
                <w:shd w:val="clear" w:color="auto" w:fill="FEFEFE"/>
              </w:rPr>
              <w:t xml:space="preserve"> от Националната комуникационна стратегия за програмен период 20</w:t>
            </w:r>
            <w:r w:rsidR="0005576F">
              <w:rPr>
                <w:rFonts w:ascii="Times New Roman" w:hAnsi="Times New Roman" w:cs="Times New Roman"/>
                <w:sz w:val="24"/>
                <w:szCs w:val="24"/>
                <w:shd w:val="clear" w:color="auto" w:fill="FEFEFE"/>
              </w:rPr>
              <w:t>2</w:t>
            </w:r>
            <w:r w:rsidRPr="00720BC2">
              <w:rPr>
                <w:rFonts w:ascii="Times New Roman" w:hAnsi="Times New Roman" w:cs="Times New Roman"/>
                <w:sz w:val="24"/>
                <w:szCs w:val="24"/>
                <w:shd w:val="clear" w:color="auto" w:fill="FEFEFE"/>
              </w:rPr>
              <w:t>1-202</w:t>
            </w:r>
            <w:r w:rsidR="0005576F">
              <w:rPr>
                <w:rFonts w:ascii="Times New Roman" w:hAnsi="Times New Roman" w:cs="Times New Roman"/>
                <w:sz w:val="24"/>
                <w:szCs w:val="24"/>
                <w:shd w:val="clear" w:color="auto" w:fill="FEFEFE"/>
              </w:rPr>
              <w:t>7</w:t>
            </w:r>
            <w:r w:rsidRPr="00720BC2">
              <w:rPr>
                <w:rFonts w:ascii="Times New Roman" w:hAnsi="Times New Roman" w:cs="Times New Roman"/>
                <w:sz w:val="24"/>
                <w:szCs w:val="24"/>
                <w:shd w:val="clear" w:color="auto" w:fill="FEFEFE"/>
              </w:rPr>
              <w:t xml:space="preserve"> г.;</w:t>
            </w:r>
          </w:p>
          <w:p w14:paraId="74200915" w14:textId="685F5E15" w:rsidR="00720BC2" w:rsidRPr="00720BC2" w:rsidRDefault="001F5E5E" w:rsidP="007541D6">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14.2.3.1</w:t>
            </w:r>
            <w:r w:rsidR="008F02AF">
              <w:rPr>
                <w:rFonts w:ascii="Times New Roman" w:hAnsi="Times New Roman" w:cs="Times New Roman"/>
                <w:sz w:val="24"/>
                <w:szCs w:val="24"/>
                <w:shd w:val="clear" w:color="auto" w:fill="FEFEFE"/>
              </w:rPr>
              <w:t>5</w:t>
            </w:r>
            <w:r>
              <w:rPr>
                <w:rFonts w:ascii="Times New Roman" w:hAnsi="Times New Roman" w:cs="Times New Roman"/>
                <w:sz w:val="24"/>
                <w:szCs w:val="24"/>
                <w:shd w:val="clear" w:color="auto" w:fill="FEFEFE"/>
              </w:rPr>
              <w:t>.</w:t>
            </w:r>
            <w:r w:rsidR="00720BC2" w:rsidRPr="00720BC2">
              <w:rPr>
                <w:rFonts w:ascii="Times New Roman" w:hAnsi="Times New Roman" w:cs="Times New Roman"/>
                <w:sz w:val="24"/>
                <w:szCs w:val="24"/>
                <w:shd w:val="clear" w:color="auto" w:fill="FEFEFE"/>
              </w:rPr>
              <w:t xml:space="preserve"> разходи за пътни, дневни и квартирни, извършени в полза на партньор/и по </w:t>
            </w:r>
            <w:r w:rsidR="001C1AED">
              <w:rPr>
                <w:rFonts w:ascii="Times New Roman" w:hAnsi="Times New Roman" w:cs="Times New Roman"/>
                <w:sz w:val="24"/>
                <w:szCs w:val="24"/>
                <w:shd w:val="clear" w:color="auto" w:fill="FEFEFE"/>
              </w:rPr>
              <w:t>дейностите за сътрудничество</w:t>
            </w:r>
            <w:r w:rsidR="00720BC2" w:rsidRPr="00720BC2">
              <w:rPr>
                <w:rFonts w:ascii="Times New Roman" w:hAnsi="Times New Roman" w:cs="Times New Roman"/>
                <w:sz w:val="24"/>
                <w:szCs w:val="24"/>
                <w:shd w:val="clear" w:color="auto" w:fill="FEFEFE"/>
              </w:rPr>
              <w:t>;</w:t>
            </w:r>
          </w:p>
          <w:p w14:paraId="77333BA7" w14:textId="2DA92D1D" w:rsidR="00AD2468" w:rsidRDefault="001F5E5E" w:rsidP="00677AE9">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w:t>
            </w:r>
            <w:r w:rsidR="001C1AED">
              <w:rPr>
                <w:rFonts w:ascii="Times New Roman" w:hAnsi="Times New Roman" w:cs="Times New Roman"/>
                <w:sz w:val="24"/>
                <w:szCs w:val="24"/>
                <w:shd w:val="clear" w:color="auto" w:fill="FEFEFE"/>
              </w:rPr>
              <w:t>1</w:t>
            </w:r>
            <w:r w:rsidR="008F02AF">
              <w:rPr>
                <w:rFonts w:ascii="Times New Roman" w:hAnsi="Times New Roman" w:cs="Times New Roman"/>
                <w:sz w:val="24"/>
                <w:szCs w:val="24"/>
                <w:shd w:val="clear" w:color="auto" w:fill="FEFEFE"/>
              </w:rPr>
              <w:t>6</w:t>
            </w:r>
            <w:r>
              <w:rPr>
                <w:rFonts w:ascii="Times New Roman" w:hAnsi="Times New Roman" w:cs="Times New Roman"/>
                <w:sz w:val="24"/>
                <w:szCs w:val="24"/>
                <w:shd w:val="clear" w:color="auto" w:fill="FEFEFE"/>
              </w:rPr>
              <w:t>.</w:t>
            </w:r>
            <w:r w:rsidR="00720BC2" w:rsidRPr="00720BC2">
              <w:rPr>
                <w:rFonts w:ascii="Times New Roman" w:hAnsi="Times New Roman" w:cs="Times New Roman"/>
                <w:sz w:val="24"/>
                <w:szCs w:val="24"/>
                <w:shd w:val="clear" w:color="auto" w:fill="FEFEFE"/>
              </w:rPr>
              <w:t xml:space="preserve"> разходи за командировки</w:t>
            </w:r>
            <w:r w:rsidR="00AD2468">
              <w:rPr>
                <w:rFonts w:ascii="Times New Roman" w:hAnsi="Times New Roman" w:cs="Times New Roman"/>
                <w:sz w:val="24"/>
                <w:szCs w:val="24"/>
                <w:shd w:val="clear" w:color="auto" w:fill="FEFEFE"/>
              </w:rPr>
              <w:t>,</w:t>
            </w:r>
            <w:r w:rsidR="00720BC2" w:rsidRPr="00720BC2">
              <w:rPr>
                <w:rFonts w:ascii="Times New Roman" w:hAnsi="Times New Roman" w:cs="Times New Roman"/>
                <w:sz w:val="24"/>
                <w:szCs w:val="24"/>
                <w:shd w:val="clear" w:color="auto" w:fill="FEFEFE"/>
              </w:rPr>
              <w:t xml:space="preserve"> надвишаващи стойностите, определени в Наредбата за командировките в страната, приета с Постановление № 72 на Министерския съвет от 1986 г. (</w:t>
            </w:r>
            <w:proofErr w:type="spellStart"/>
            <w:r w:rsidR="00AC24B6" w:rsidRPr="00AC24B6">
              <w:rPr>
                <w:rFonts w:ascii="Times New Roman" w:hAnsi="Times New Roman" w:cs="Times New Roman"/>
                <w:sz w:val="24"/>
                <w:szCs w:val="24"/>
                <w:shd w:val="clear" w:color="auto" w:fill="FEFEFE"/>
              </w:rPr>
              <w:t>Обн</w:t>
            </w:r>
            <w:proofErr w:type="spellEnd"/>
            <w:r w:rsidR="00AC24B6" w:rsidRPr="00AC24B6">
              <w:rPr>
                <w:rFonts w:ascii="Times New Roman" w:hAnsi="Times New Roman" w:cs="Times New Roman"/>
                <w:sz w:val="24"/>
                <w:szCs w:val="24"/>
                <w:shd w:val="clear" w:color="auto" w:fill="FEFEFE"/>
              </w:rPr>
              <w:t xml:space="preserve">., </w:t>
            </w:r>
            <w:r w:rsidR="00720BC2" w:rsidRPr="00720BC2">
              <w:rPr>
                <w:rFonts w:ascii="Times New Roman" w:hAnsi="Times New Roman" w:cs="Times New Roman"/>
                <w:sz w:val="24"/>
                <w:szCs w:val="24"/>
                <w:shd w:val="clear" w:color="auto" w:fill="FEFEFE"/>
              </w:rPr>
              <w:t>ДВ, бр. 11 от 1987 г.) и Наредбата за служебните командировки и специализации в чужбина, приета с Постановление № 115 на Министерския съвет от 2004 г. (</w:t>
            </w:r>
            <w:proofErr w:type="spellStart"/>
            <w:r w:rsidR="00AC24B6" w:rsidRPr="00AC24B6">
              <w:rPr>
                <w:rFonts w:ascii="Times New Roman" w:hAnsi="Times New Roman" w:cs="Times New Roman"/>
                <w:sz w:val="24"/>
                <w:szCs w:val="24"/>
                <w:shd w:val="clear" w:color="auto" w:fill="FEFEFE"/>
              </w:rPr>
              <w:t>Обн</w:t>
            </w:r>
            <w:proofErr w:type="spellEnd"/>
            <w:r w:rsidR="00AC24B6" w:rsidRPr="00AC24B6">
              <w:rPr>
                <w:rFonts w:ascii="Times New Roman" w:hAnsi="Times New Roman" w:cs="Times New Roman"/>
                <w:sz w:val="24"/>
                <w:szCs w:val="24"/>
                <w:shd w:val="clear" w:color="auto" w:fill="FEFEFE"/>
              </w:rPr>
              <w:t xml:space="preserve">., </w:t>
            </w:r>
            <w:r w:rsidR="00720BC2" w:rsidRPr="00720BC2">
              <w:rPr>
                <w:rFonts w:ascii="Times New Roman" w:hAnsi="Times New Roman" w:cs="Times New Roman"/>
                <w:sz w:val="24"/>
                <w:szCs w:val="24"/>
                <w:shd w:val="clear" w:color="auto" w:fill="FEFEFE"/>
              </w:rPr>
              <w:t>ДВ, бр. 50 от 2004 г.)</w:t>
            </w:r>
            <w:r w:rsidR="00AD2468">
              <w:rPr>
                <w:rFonts w:ascii="Times New Roman" w:hAnsi="Times New Roman" w:cs="Times New Roman"/>
                <w:sz w:val="24"/>
                <w:szCs w:val="24"/>
                <w:shd w:val="clear" w:color="auto" w:fill="FEFEFE"/>
              </w:rPr>
              <w:t>;</w:t>
            </w:r>
          </w:p>
          <w:p w14:paraId="231763E8" w14:textId="4E347113" w:rsidR="00AD2468" w:rsidRDefault="00AD2468" w:rsidP="00677AE9">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14.2.3.1</w:t>
            </w:r>
            <w:r w:rsidR="008F02AF">
              <w:rPr>
                <w:rFonts w:ascii="Times New Roman" w:hAnsi="Times New Roman" w:cs="Times New Roman"/>
                <w:sz w:val="24"/>
                <w:szCs w:val="24"/>
                <w:shd w:val="clear" w:color="auto" w:fill="FEFEFE"/>
              </w:rPr>
              <w:t>7</w:t>
            </w:r>
            <w:r>
              <w:rPr>
                <w:rFonts w:ascii="Times New Roman" w:hAnsi="Times New Roman" w:cs="Times New Roman"/>
                <w:sz w:val="24"/>
                <w:szCs w:val="24"/>
                <w:shd w:val="clear" w:color="auto" w:fill="FEFEFE"/>
              </w:rPr>
              <w:t xml:space="preserve">. дневни пари </w:t>
            </w:r>
            <w:r w:rsidRPr="00720BC2">
              <w:rPr>
                <w:rFonts w:ascii="Times New Roman" w:hAnsi="Times New Roman" w:cs="Times New Roman"/>
                <w:sz w:val="24"/>
                <w:szCs w:val="24"/>
                <w:shd w:val="clear" w:color="auto" w:fill="FEFEFE"/>
              </w:rPr>
              <w:t xml:space="preserve">за командировки в чужбина, надвишаващи определените в </w:t>
            </w:r>
            <w:r>
              <w:rPr>
                <w:rFonts w:ascii="Times New Roman" w:hAnsi="Times New Roman" w:cs="Times New Roman"/>
                <w:sz w:val="24"/>
                <w:szCs w:val="24"/>
                <w:shd w:val="clear" w:color="auto" w:fill="FEFEFE"/>
              </w:rPr>
              <w:t xml:space="preserve">Приложение № 2 на </w:t>
            </w:r>
            <w:r w:rsidRPr="00720BC2">
              <w:rPr>
                <w:rFonts w:ascii="Times New Roman" w:hAnsi="Times New Roman" w:cs="Times New Roman"/>
                <w:sz w:val="24"/>
                <w:szCs w:val="24"/>
                <w:shd w:val="clear" w:color="auto" w:fill="FEFEFE"/>
              </w:rPr>
              <w:t>Наредбата за служебните командировки и специализациите в чужбина, приета с ПМС № 115 от 2004 г.</w:t>
            </w:r>
            <w:r>
              <w:rPr>
                <w:rFonts w:ascii="Times New Roman" w:hAnsi="Times New Roman" w:cs="Times New Roman"/>
                <w:sz w:val="24"/>
                <w:szCs w:val="24"/>
                <w:shd w:val="clear" w:color="auto" w:fill="FEFEFE"/>
              </w:rPr>
              <w:t>;</w:t>
            </w:r>
          </w:p>
          <w:p w14:paraId="15B66234" w14:textId="4CE2C0F1" w:rsidR="00F53733" w:rsidRDefault="00AD2468" w:rsidP="00EE7BEB">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14.2.3.1</w:t>
            </w:r>
            <w:r w:rsidR="008F02AF">
              <w:rPr>
                <w:rFonts w:ascii="Times New Roman" w:hAnsi="Times New Roman" w:cs="Times New Roman"/>
                <w:sz w:val="24"/>
                <w:szCs w:val="24"/>
                <w:shd w:val="clear" w:color="auto" w:fill="FEFEFE"/>
              </w:rPr>
              <w:t>8</w:t>
            </w:r>
            <w:r>
              <w:rPr>
                <w:rFonts w:ascii="Times New Roman" w:hAnsi="Times New Roman" w:cs="Times New Roman"/>
                <w:sz w:val="24"/>
                <w:szCs w:val="24"/>
                <w:shd w:val="clear" w:color="auto" w:fill="FEFEFE"/>
              </w:rPr>
              <w:t xml:space="preserve">. </w:t>
            </w:r>
            <w:r w:rsidRPr="00720BC2">
              <w:rPr>
                <w:rFonts w:ascii="Times New Roman" w:hAnsi="Times New Roman" w:cs="Times New Roman"/>
                <w:sz w:val="24"/>
                <w:szCs w:val="24"/>
                <w:shd w:val="clear" w:color="auto" w:fill="FEFEFE"/>
              </w:rPr>
              <w:t>за нощувки в страната, надвишаващи 1</w:t>
            </w:r>
            <w:r>
              <w:rPr>
                <w:rFonts w:ascii="Times New Roman" w:hAnsi="Times New Roman" w:cs="Times New Roman"/>
                <w:sz w:val="24"/>
                <w:szCs w:val="24"/>
                <w:shd w:val="clear" w:color="auto" w:fill="FEFEFE"/>
              </w:rPr>
              <w:t>2</w:t>
            </w:r>
            <w:r w:rsidRPr="00720BC2">
              <w:rPr>
                <w:rFonts w:ascii="Times New Roman" w:hAnsi="Times New Roman" w:cs="Times New Roman"/>
                <w:sz w:val="24"/>
                <w:szCs w:val="24"/>
                <w:shd w:val="clear" w:color="auto" w:fill="FEFEFE"/>
              </w:rPr>
              <w:t>0 лв. за един човек</w:t>
            </w:r>
            <w:r>
              <w:rPr>
                <w:rFonts w:ascii="Times New Roman" w:hAnsi="Times New Roman" w:cs="Times New Roman"/>
                <w:sz w:val="24"/>
                <w:szCs w:val="24"/>
                <w:shd w:val="clear" w:color="auto" w:fill="FEFEFE"/>
              </w:rPr>
              <w:t xml:space="preserve"> и разходи, надвишаващи определените в </w:t>
            </w:r>
            <w:r w:rsidRPr="00E64542">
              <w:rPr>
                <w:rFonts w:ascii="Times New Roman" w:hAnsi="Times New Roman" w:cs="Times New Roman"/>
                <w:sz w:val="24"/>
                <w:szCs w:val="24"/>
                <w:shd w:val="clear" w:color="auto" w:fill="FEFEFE"/>
              </w:rPr>
              <w:t>Наредбата за командировките в страната, приета с Постановление № 72 на Министерския съвет от 1986 г. (</w:t>
            </w:r>
            <w:proofErr w:type="spellStart"/>
            <w:r w:rsidR="00AC24B6" w:rsidRPr="00AC24B6">
              <w:rPr>
                <w:rFonts w:ascii="Times New Roman" w:hAnsi="Times New Roman" w:cs="Times New Roman"/>
                <w:sz w:val="24"/>
                <w:szCs w:val="24"/>
                <w:shd w:val="clear" w:color="auto" w:fill="FEFEFE"/>
              </w:rPr>
              <w:t>Обн</w:t>
            </w:r>
            <w:proofErr w:type="spellEnd"/>
            <w:r w:rsidR="00AC24B6" w:rsidRPr="00AC24B6">
              <w:rPr>
                <w:rFonts w:ascii="Times New Roman" w:hAnsi="Times New Roman" w:cs="Times New Roman"/>
                <w:sz w:val="24"/>
                <w:szCs w:val="24"/>
                <w:shd w:val="clear" w:color="auto" w:fill="FEFEFE"/>
              </w:rPr>
              <w:t xml:space="preserve">., </w:t>
            </w:r>
            <w:r w:rsidRPr="00E64542">
              <w:rPr>
                <w:rFonts w:ascii="Times New Roman" w:hAnsi="Times New Roman" w:cs="Times New Roman"/>
                <w:sz w:val="24"/>
                <w:szCs w:val="24"/>
                <w:shd w:val="clear" w:color="auto" w:fill="FEFEFE"/>
              </w:rPr>
              <w:t>ДВ, бр. 11 от 1987 г.)</w:t>
            </w:r>
            <w:r w:rsidR="00F53733">
              <w:rPr>
                <w:rFonts w:ascii="Times New Roman" w:hAnsi="Times New Roman" w:cs="Times New Roman"/>
                <w:sz w:val="24"/>
                <w:szCs w:val="24"/>
                <w:shd w:val="clear" w:color="auto" w:fill="FEFEFE"/>
              </w:rPr>
              <w:t>.</w:t>
            </w:r>
          </w:p>
          <w:p w14:paraId="1E7D166D" w14:textId="63A44D41" w:rsidR="00C04467" w:rsidRPr="005B7529" w:rsidRDefault="00BB71B1" w:rsidP="00F978E4">
            <w:pPr>
              <w:jc w:val="both"/>
              <w:rPr>
                <w:highlight w:val="yellow"/>
                <w:shd w:val="clear" w:color="auto" w:fill="FEFEFE"/>
              </w:rPr>
            </w:pPr>
            <w:r>
              <w:rPr>
                <w:rFonts w:ascii="Times New Roman" w:hAnsi="Times New Roman" w:cs="Times New Roman"/>
                <w:sz w:val="24"/>
                <w:szCs w:val="24"/>
                <w:shd w:val="clear" w:color="auto" w:fill="FEFEFE"/>
              </w:rPr>
              <w:t xml:space="preserve">Не са допустими </w:t>
            </w:r>
            <w:r w:rsidRPr="00BB71B1">
              <w:rPr>
                <w:rFonts w:ascii="Times New Roman" w:hAnsi="Times New Roman" w:cs="Times New Roman"/>
                <w:sz w:val="24"/>
                <w:szCs w:val="24"/>
                <w:shd w:val="clear" w:color="auto" w:fill="FEFEFE"/>
              </w:rPr>
              <w:t xml:space="preserve">за подкрепа разходи, които не отговарят на Специфичните условия за </w:t>
            </w:r>
            <w:r>
              <w:rPr>
                <w:rFonts w:ascii="Times New Roman" w:hAnsi="Times New Roman" w:cs="Times New Roman"/>
                <w:sz w:val="24"/>
                <w:szCs w:val="24"/>
                <w:shd w:val="clear" w:color="auto" w:fill="FEFEFE"/>
              </w:rPr>
              <w:t>о</w:t>
            </w:r>
            <w:r w:rsidRPr="00BB71B1">
              <w:rPr>
                <w:rFonts w:ascii="Times New Roman" w:hAnsi="Times New Roman" w:cs="Times New Roman"/>
                <w:sz w:val="24"/>
                <w:szCs w:val="24"/>
                <w:shd w:val="clear" w:color="auto" w:fill="FEFEFE"/>
              </w:rPr>
              <w:t xml:space="preserve">снователност на разходите, посочени в точка 7.3.2.2 Кратко описание на системата за контрол за елементи извън ИСАК (методи за контрол, кръстосани проверки, дълготрайност на инвестициите и свързаните с тях последващи проверки и т.н.), раздел </w:t>
            </w:r>
            <w:r>
              <w:rPr>
                <w:rFonts w:ascii="Times New Roman" w:hAnsi="Times New Roman" w:cs="Times New Roman"/>
                <w:sz w:val="24"/>
                <w:szCs w:val="24"/>
                <w:shd w:val="clear" w:color="auto" w:fill="FEFEFE"/>
              </w:rPr>
              <w:t xml:space="preserve">7.3.2. </w:t>
            </w:r>
            <w:r w:rsidRPr="00BB71B1">
              <w:rPr>
                <w:rFonts w:ascii="Times New Roman" w:hAnsi="Times New Roman" w:cs="Times New Roman"/>
                <w:sz w:val="24"/>
                <w:szCs w:val="24"/>
                <w:shd w:val="clear" w:color="auto" w:fill="FEFEFE"/>
              </w:rPr>
              <w:t xml:space="preserve">Извън обхвата на </w:t>
            </w:r>
            <w:r w:rsidRPr="00214525">
              <w:rPr>
                <w:rFonts w:ascii="Times New Roman" w:hAnsi="Times New Roman" w:cs="Times New Roman"/>
                <w:sz w:val="24"/>
                <w:szCs w:val="24"/>
                <w:shd w:val="clear" w:color="auto" w:fill="FEFEFE"/>
              </w:rPr>
              <w:t>ИСАК на С</w:t>
            </w:r>
            <w:r w:rsidR="00EE7BEB">
              <w:rPr>
                <w:rFonts w:ascii="Times New Roman" w:hAnsi="Times New Roman" w:cs="Times New Roman"/>
                <w:sz w:val="24"/>
                <w:szCs w:val="24"/>
                <w:shd w:val="clear" w:color="auto" w:fill="FEFEFE"/>
              </w:rPr>
              <w:t>ПРЗСР</w:t>
            </w:r>
            <w:r w:rsidRPr="00214525">
              <w:rPr>
                <w:rFonts w:ascii="Times New Roman" w:hAnsi="Times New Roman" w:cs="Times New Roman"/>
                <w:sz w:val="24"/>
                <w:szCs w:val="24"/>
                <w:shd w:val="clear" w:color="auto" w:fill="FEFEFE"/>
              </w:rPr>
              <w:t xml:space="preserve"> 2023 - 2027</w:t>
            </w:r>
            <w:r w:rsidR="00B61451">
              <w:rPr>
                <w:rFonts w:ascii="Times New Roman" w:hAnsi="Times New Roman" w:cs="Times New Roman"/>
                <w:sz w:val="24"/>
                <w:szCs w:val="24"/>
                <w:shd w:val="clear" w:color="auto" w:fill="FEFEFE"/>
              </w:rPr>
              <w:t>.</w:t>
            </w:r>
          </w:p>
        </w:tc>
      </w:tr>
    </w:tbl>
    <w:p w14:paraId="79F877F5"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FB202F" w:rsidRPr="00FB202F" w14:paraId="71EF22F3" w14:textId="77777777" w:rsidTr="000D7565">
        <w:tc>
          <w:tcPr>
            <w:tcW w:w="9781" w:type="dxa"/>
          </w:tcPr>
          <w:p w14:paraId="4C1EDAC1" w14:textId="2148EE77" w:rsidR="003935EC" w:rsidRPr="00FB202F" w:rsidRDefault="00C56B8B" w:rsidP="007541D6">
            <w:pPr>
              <w:tabs>
                <w:tab w:val="left" w:pos="0"/>
                <w:tab w:val="left" w:pos="709"/>
              </w:tabs>
              <w:spacing w:line="276" w:lineRule="auto"/>
              <w:ind w:firstLine="567"/>
              <w:contextualSpacing/>
              <w:jc w:val="both"/>
              <w:rPr>
                <w:rFonts w:ascii="Times New Roman" w:hAnsi="Times New Roman" w:cs="Times New Roman"/>
                <w:b/>
                <w:sz w:val="24"/>
                <w:szCs w:val="24"/>
              </w:rPr>
            </w:pPr>
            <w:r>
              <w:rPr>
                <w:rFonts w:ascii="Times New Roman" w:hAnsi="Times New Roman" w:cs="Times New Roman"/>
                <w:b/>
                <w:sz w:val="24"/>
                <w:szCs w:val="24"/>
              </w:rPr>
              <w:t xml:space="preserve">15. </w:t>
            </w:r>
            <w:r w:rsidR="003935EC" w:rsidRPr="00FB202F">
              <w:rPr>
                <w:rFonts w:ascii="Times New Roman" w:hAnsi="Times New Roman" w:cs="Times New Roman"/>
                <w:b/>
                <w:sz w:val="24"/>
                <w:szCs w:val="24"/>
              </w:rPr>
              <w:t>Допустими целеви групи (ако е приложимо):</w:t>
            </w:r>
          </w:p>
          <w:p w14:paraId="56BAF58E" w14:textId="150434A5" w:rsidR="003935EC" w:rsidRPr="00FB202F" w:rsidRDefault="00AF3C4D" w:rsidP="007541D6">
            <w:pPr>
              <w:tabs>
                <w:tab w:val="left" w:pos="0"/>
                <w:tab w:val="left" w:pos="460"/>
              </w:tabs>
              <w:spacing w:line="276" w:lineRule="auto"/>
              <w:ind w:firstLine="567"/>
              <w:contextualSpacing/>
              <w:jc w:val="both"/>
              <w:rPr>
                <w:rFonts w:ascii="Times New Roman" w:hAnsi="Times New Roman" w:cs="Times New Roman"/>
                <w:sz w:val="24"/>
                <w:szCs w:val="24"/>
              </w:rPr>
            </w:pPr>
            <w:r w:rsidRPr="00FB202F">
              <w:rPr>
                <w:rFonts w:ascii="Times New Roman" w:hAnsi="Times New Roman" w:cs="Times New Roman"/>
                <w:sz w:val="24"/>
                <w:szCs w:val="24"/>
              </w:rPr>
              <w:t>Н</w:t>
            </w:r>
            <w:r w:rsidR="00D37372" w:rsidRPr="00FB202F">
              <w:rPr>
                <w:rFonts w:ascii="Times New Roman" w:hAnsi="Times New Roman" w:cs="Times New Roman"/>
                <w:sz w:val="24"/>
                <w:szCs w:val="24"/>
              </w:rPr>
              <w:t>еприложимо за ЕЗФРСР.</w:t>
            </w:r>
          </w:p>
          <w:p w14:paraId="5D6B2173" w14:textId="0E7BF512" w:rsidR="003935EC" w:rsidRPr="00FB202F" w:rsidRDefault="00D37372" w:rsidP="00AC24B6">
            <w:pPr>
              <w:tabs>
                <w:tab w:val="left" w:pos="0"/>
                <w:tab w:val="left" w:pos="34"/>
              </w:tabs>
              <w:spacing w:line="276" w:lineRule="auto"/>
              <w:ind w:firstLine="567"/>
              <w:contextualSpacing/>
              <w:jc w:val="both"/>
              <w:rPr>
                <w:rFonts w:ascii="Times New Roman" w:hAnsi="Times New Roman" w:cs="Times New Roman"/>
                <w:sz w:val="24"/>
                <w:szCs w:val="24"/>
              </w:rPr>
            </w:pPr>
            <w:r w:rsidRPr="00FB202F">
              <w:rPr>
                <w:rFonts w:ascii="Times New Roman" w:hAnsi="Times New Roman" w:cs="Times New Roman"/>
                <w:sz w:val="24"/>
                <w:szCs w:val="24"/>
              </w:rPr>
              <w:t xml:space="preserve">Когато е приложимо, допустимостта на целевите групи е определена в указанията съгласно чл. 10 на </w:t>
            </w:r>
            <w:r w:rsidR="00BB20FC" w:rsidRPr="00BB20FC">
              <w:rPr>
                <w:rFonts w:ascii="Times New Roman" w:hAnsi="Times New Roman" w:cs="Times New Roman"/>
                <w:bCs/>
                <w:sz w:val="24"/>
                <w:szCs w:val="24"/>
              </w:rPr>
              <w:t xml:space="preserve">ПМС № </w:t>
            </w:r>
            <w:r w:rsidR="00BB20FC" w:rsidRPr="00BB20FC">
              <w:rPr>
                <w:rFonts w:ascii="Times New Roman" w:hAnsi="Times New Roman" w:cs="Times New Roman"/>
                <w:bCs/>
                <w:sz w:val="24"/>
                <w:szCs w:val="24"/>
                <w:lang w:val="en-US"/>
              </w:rPr>
              <w:t>4</w:t>
            </w:r>
            <w:r w:rsidR="00BB20FC" w:rsidRPr="00BB20FC">
              <w:rPr>
                <w:rFonts w:ascii="Times New Roman" w:hAnsi="Times New Roman" w:cs="Times New Roman"/>
                <w:bCs/>
                <w:sz w:val="24"/>
                <w:szCs w:val="24"/>
              </w:rPr>
              <w:t>94 от 2024 г.</w:t>
            </w:r>
          </w:p>
        </w:tc>
      </w:tr>
    </w:tbl>
    <w:p w14:paraId="7E1CACE0"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1F8D460F" w14:textId="77777777" w:rsidTr="000D7565">
        <w:tc>
          <w:tcPr>
            <w:tcW w:w="9781" w:type="dxa"/>
          </w:tcPr>
          <w:p w14:paraId="2D20FD18" w14:textId="00B765FA" w:rsidR="003935EC" w:rsidRPr="00FB202F" w:rsidRDefault="00C56B8B" w:rsidP="007541D6">
            <w:pPr>
              <w:tabs>
                <w:tab w:val="left" w:pos="0"/>
                <w:tab w:val="left" w:pos="709"/>
              </w:tabs>
              <w:spacing w:line="276" w:lineRule="auto"/>
              <w:ind w:firstLine="567"/>
              <w:contextualSpacing/>
              <w:jc w:val="both"/>
              <w:rPr>
                <w:rFonts w:ascii="Times New Roman" w:hAnsi="Times New Roman" w:cs="Times New Roman"/>
                <w:b/>
                <w:sz w:val="24"/>
                <w:szCs w:val="24"/>
              </w:rPr>
            </w:pPr>
            <w:r>
              <w:rPr>
                <w:rFonts w:ascii="Times New Roman" w:hAnsi="Times New Roman" w:cs="Times New Roman"/>
                <w:b/>
                <w:sz w:val="24"/>
                <w:szCs w:val="24"/>
              </w:rPr>
              <w:t xml:space="preserve">16. </w:t>
            </w:r>
            <w:r w:rsidR="003935EC" w:rsidRPr="00FB202F">
              <w:rPr>
                <w:rFonts w:ascii="Times New Roman" w:hAnsi="Times New Roman" w:cs="Times New Roman"/>
                <w:b/>
                <w:sz w:val="24"/>
                <w:szCs w:val="24"/>
              </w:rPr>
              <w:t>Приложим режим на минимални/държавни помощи:</w:t>
            </w:r>
          </w:p>
          <w:p w14:paraId="2573D400" w14:textId="4F32BF4E" w:rsidR="00D37372" w:rsidRPr="00FB202F" w:rsidRDefault="00D37372" w:rsidP="00044F85">
            <w:pPr>
              <w:tabs>
                <w:tab w:val="left" w:pos="0"/>
                <w:tab w:val="left" w:pos="601"/>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За </w:t>
            </w:r>
            <w:r w:rsidR="00F61160" w:rsidRPr="00FB202F">
              <w:rPr>
                <w:rFonts w:ascii="Times New Roman" w:hAnsi="Times New Roman" w:cs="Times New Roman"/>
                <w:sz w:val="24"/>
                <w:szCs w:val="24"/>
              </w:rPr>
              <w:t xml:space="preserve">стратегиите </w:t>
            </w:r>
            <w:r w:rsidRPr="00FB202F">
              <w:rPr>
                <w:rFonts w:ascii="Times New Roman" w:hAnsi="Times New Roman" w:cs="Times New Roman"/>
                <w:sz w:val="24"/>
                <w:szCs w:val="24"/>
              </w:rPr>
              <w:t xml:space="preserve">за ВОМР се прилагат условията </w:t>
            </w:r>
            <w:r w:rsidR="00F61160" w:rsidRPr="00FB202F">
              <w:rPr>
                <w:rFonts w:ascii="Times New Roman" w:hAnsi="Times New Roman" w:cs="Times New Roman"/>
                <w:sz w:val="24"/>
                <w:szCs w:val="24"/>
              </w:rPr>
              <w:t>на</w:t>
            </w:r>
            <w:r w:rsidR="00F61160" w:rsidRPr="00FB202F">
              <w:rPr>
                <w:rFonts w:ascii="Times New Roman" w:hAnsi="Times New Roman" w:cs="Times New Roman"/>
                <w:sz w:val="24"/>
                <w:szCs w:val="24"/>
                <w:lang w:val="en-GB"/>
              </w:rPr>
              <w:t xml:space="preserve"> </w:t>
            </w:r>
            <w:r w:rsidR="00F61160" w:rsidRPr="00FB202F">
              <w:rPr>
                <w:rFonts w:ascii="Times New Roman" w:hAnsi="Times New Roman" w:cs="Times New Roman"/>
                <w:sz w:val="24"/>
                <w:szCs w:val="24"/>
              </w:rPr>
              <w:t>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Регламент (ЕС) 2021/1237 на Комисията от 23 юли 2021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(текст от значение за ЕИП)</w:t>
            </w:r>
            <w:r w:rsidR="003D3285">
              <w:rPr>
                <w:rFonts w:ascii="Times New Roman" w:hAnsi="Times New Roman" w:cs="Times New Roman"/>
                <w:sz w:val="24"/>
                <w:szCs w:val="24"/>
              </w:rPr>
              <w:t xml:space="preserve"> е Регламент </w:t>
            </w:r>
            <w:r w:rsidR="003D3285" w:rsidRPr="003D3285">
              <w:rPr>
                <w:rFonts w:ascii="Times New Roman" w:hAnsi="Times New Roman" w:cs="Times New Roman"/>
                <w:sz w:val="24"/>
                <w:szCs w:val="24"/>
              </w:rPr>
              <w:t>(ЕС) 202</w:t>
            </w:r>
            <w:r w:rsidR="003D3285">
              <w:rPr>
                <w:rFonts w:ascii="Times New Roman" w:hAnsi="Times New Roman" w:cs="Times New Roman"/>
                <w:sz w:val="24"/>
                <w:szCs w:val="24"/>
              </w:rPr>
              <w:t>3</w:t>
            </w:r>
            <w:r w:rsidR="003D3285" w:rsidRPr="003D3285">
              <w:rPr>
                <w:rFonts w:ascii="Times New Roman" w:hAnsi="Times New Roman" w:cs="Times New Roman"/>
                <w:sz w:val="24"/>
                <w:szCs w:val="24"/>
              </w:rPr>
              <w:t>/2</w:t>
            </w:r>
            <w:r w:rsidR="003D3285">
              <w:rPr>
                <w:rFonts w:ascii="Times New Roman" w:hAnsi="Times New Roman" w:cs="Times New Roman"/>
                <w:sz w:val="24"/>
                <w:szCs w:val="24"/>
              </w:rPr>
              <w:t>831 от 13 декември 2023 г</w:t>
            </w:r>
            <w:r w:rsidR="00F61160" w:rsidRPr="00FB202F">
              <w:rPr>
                <w:rFonts w:ascii="Times New Roman" w:hAnsi="Times New Roman" w:cs="Times New Roman"/>
                <w:sz w:val="24"/>
                <w:szCs w:val="24"/>
              </w:rPr>
              <w:t>.</w:t>
            </w:r>
          </w:p>
          <w:p w14:paraId="39983746" w14:textId="18BC765B" w:rsidR="00533848" w:rsidRPr="00FB202F" w:rsidRDefault="00D37372" w:rsidP="007541D6">
            <w:pPr>
              <w:tabs>
                <w:tab w:val="left" w:pos="0"/>
                <w:tab w:val="left" w:pos="601"/>
              </w:tabs>
              <w:spacing w:line="276" w:lineRule="auto"/>
              <w:ind w:firstLine="567"/>
              <w:jc w:val="both"/>
              <w:rPr>
                <w:rFonts w:ascii="Times New Roman" w:hAnsi="Times New Roman" w:cs="Times New Roman"/>
                <w:sz w:val="24"/>
                <w:szCs w:val="24"/>
                <w:highlight w:val="yellow"/>
              </w:rPr>
            </w:pPr>
            <w:r w:rsidRPr="00FB202F">
              <w:rPr>
                <w:rFonts w:ascii="Times New Roman" w:hAnsi="Times New Roman" w:cs="Times New Roman"/>
                <w:sz w:val="24"/>
                <w:szCs w:val="24"/>
              </w:rPr>
              <w:t xml:space="preserve">При изпълнение на проект, финансиран изцяло или частично от ЕЗФРСР, включващ </w:t>
            </w:r>
            <w:r w:rsidRPr="00FB202F">
              <w:rPr>
                <w:rFonts w:ascii="Times New Roman" w:hAnsi="Times New Roman" w:cs="Times New Roman"/>
                <w:sz w:val="24"/>
                <w:szCs w:val="24"/>
              </w:rPr>
              <w:lastRenderedPageBreak/>
              <w:t>само нестопански дейности и изпълняван от лице, регистрирано по реда на Закона за юридическите лица с нестопанска цел или по Закона за народните читалища, не се прилагат чл. 107 и 108 от Договора за функционирането на Европейския съюз.</w:t>
            </w:r>
          </w:p>
        </w:tc>
      </w:tr>
    </w:tbl>
    <w:p w14:paraId="09C567D2" w14:textId="77777777" w:rsidR="003935EC" w:rsidRPr="00FB202F" w:rsidRDefault="003935EC" w:rsidP="00044F85">
      <w:pPr>
        <w:tabs>
          <w:tab w:val="left" w:pos="0"/>
          <w:tab w:val="left" w:pos="709"/>
        </w:tabs>
        <w:spacing w:after="0"/>
        <w:ind w:firstLine="567"/>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0C2289DC" w14:textId="77777777" w:rsidTr="000D7565">
        <w:tc>
          <w:tcPr>
            <w:tcW w:w="9781" w:type="dxa"/>
          </w:tcPr>
          <w:p w14:paraId="752CA9DE" w14:textId="16CFD7B4" w:rsidR="003935EC" w:rsidRPr="007541D6" w:rsidRDefault="00C56B8B" w:rsidP="007541D6">
            <w:pPr>
              <w:tabs>
                <w:tab w:val="left" w:pos="0"/>
                <w:tab w:val="left" w:pos="709"/>
              </w:tabs>
              <w:spacing w:line="276" w:lineRule="auto"/>
              <w:ind w:firstLine="567"/>
              <w:contextualSpacing/>
              <w:jc w:val="both"/>
              <w:rPr>
                <w:rFonts w:ascii="Times New Roman" w:hAnsi="Times New Roman" w:cs="Times New Roman"/>
                <w:b/>
                <w:sz w:val="24"/>
                <w:szCs w:val="24"/>
              </w:rPr>
            </w:pPr>
            <w:r>
              <w:rPr>
                <w:rFonts w:ascii="Times New Roman" w:hAnsi="Times New Roman" w:cs="Times New Roman"/>
                <w:b/>
                <w:sz w:val="24"/>
                <w:szCs w:val="24"/>
              </w:rPr>
              <w:t xml:space="preserve">17. </w:t>
            </w:r>
            <w:r w:rsidR="003935EC" w:rsidRPr="007541D6">
              <w:rPr>
                <w:rFonts w:ascii="Times New Roman" w:hAnsi="Times New Roman" w:cs="Times New Roman"/>
                <w:b/>
                <w:sz w:val="24"/>
                <w:szCs w:val="24"/>
              </w:rPr>
              <w:t xml:space="preserve">Хоризонтални </w:t>
            </w:r>
            <w:r w:rsidR="00211681" w:rsidRPr="007541D6">
              <w:rPr>
                <w:rFonts w:ascii="Times New Roman" w:hAnsi="Times New Roman" w:cs="Times New Roman"/>
                <w:b/>
                <w:sz w:val="24"/>
                <w:szCs w:val="24"/>
              </w:rPr>
              <w:t>принцип</w:t>
            </w:r>
            <w:r w:rsidR="00B42671" w:rsidRPr="007541D6">
              <w:rPr>
                <w:rFonts w:ascii="Times New Roman" w:hAnsi="Times New Roman" w:cs="Times New Roman"/>
                <w:b/>
                <w:sz w:val="24"/>
                <w:szCs w:val="24"/>
              </w:rPr>
              <w:t>и</w:t>
            </w:r>
            <w:r w:rsidR="003935EC" w:rsidRPr="007541D6">
              <w:rPr>
                <w:rFonts w:ascii="Times New Roman" w:hAnsi="Times New Roman" w:cs="Times New Roman"/>
                <w:b/>
                <w:sz w:val="24"/>
                <w:szCs w:val="24"/>
              </w:rPr>
              <w:t>:</w:t>
            </w:r>
          </w:p>
          <w:p w14:paraId="4FA2D6FA" w14:textId="447118A9" w:rsidR="000154F9" w:rsidRDefault="003935EC" w:rsidP="00044F85">
            <w:pPr>
              <w:spacing w:line="276" w:lineRule="auto"/>
              <w:ind w:firstLine="567"/>
              <w:jc w:val="both"/>
              <w:rPr>
                <w:rFonts w:ascii="Times New Roman" w:hAnsi="Times New Roman" w:cs="Times New Roman"/>
                <w:sz w:val="24"/>
                <w:szCs w:val="24"/>
              </w:rPr>
            </w:pPr>
            <w:r w:rsidRPr="0060581B">
              <w:rPr>
                <w:rFonts w:ascii="Times New Roman" w:hAnsi="Times New Roman" w:cs="Times New Roman"/>
                <w:sz w:val="24"/>
                <w:szCs w:val="24"/>
              </w:rPr>
              <w:t xml:space="preserve">По настоящата процедура следва да е налице съответствие на </w:t>
            </w:r>
            <w:r w:rsidR="00B42671" w:rsidRPr="0060581B">
              <w:rPr>
                <w:rFonts w:ascii="Times New Roman" w:hAnsi="Times New Roman" w:cs="Times New Roman"/>
                <w:sz w:val="24"/>
                <w:szCs w:val="24"/>
              </w:rPr>
              <w:t>стратегиите за ВОМР</w:t>
            </w:r>
            <w:r w:rsidRPr="0060581B">
              <w:rPr>
                <w:rFonts w:ascii="Times New Roman" w:hAnsi="Times New Roman" w:cs="Times New Roman"/>
                <w:sz w:val="24"/>
                <w:szCs w:val="24"/>
              </w:rPr>
              <w:t xml:space="preserve"> с хоризонталните п</w:t>
            </w:r>
            <w:r w:rsidR="00B42671" w:rsidRPr="0060581B">
              <w:rPr>
                <w:rFonts w:ascii="Times New Roman" w:hAnsi="Times New Roman" w:cs="Times New Roman"/>
                <w:sz w:val="24"/>
                <w:szCs w:val="24"/>
              </w:rPr>
              <w:t>ринципи</w:t>
            </w:r>
            <w:r w:rsidRPr="0060581B">
              <w:rPr>
                <w:rFonts w:ascii="Times New Roman" w:hAnsi="Times New Roman" w:cs="Times New Roman"/>
                <w:sz w:val="24"/>
                <w:szCs w:val="24"/>
              </w:rPr>
              <w:t xml:space="preserve"> на Е</w:t>
            </w:r>
            <w:r w:rsidR="00B42671" w:rsidRPr="0060581B">
              <w:rPr>
                <w:rFonts w:ascii="Times New Roman" w:hAnsi="Times New Roman" w:cs="Times New Roman"/>
                <w:sz w:val="24"/>
                <w:szCs w:val="24"/>
              </w:rPr>
              <w:t>вропейския съюз съгласно чл. 9 от Регламент (ЕС) 2021/1060</w:t>
            </w:r>
            <w:r w:rsidR="000154F9">
              <w:rPr>
                <w:rFonts w:ascii="Times New Roman" w:hAnsi="Times New Roman" w:cs="Times New Roman"/>
                <w:sz w:val="24"/>
                <w:szCs w:val="24"/>
              </w:rPr>
              <w:t xml:space="preserve">. </w:t>
            </w:r>
          </w:p>
          <w:p w14:paraId="7BCD4023" w14:textId="16517F46" w:rsidR="003935EC" w:rsidRPr="00FB202F" w:rsidRDefault="003935EC" w:rsidP="00AC24B6">
            <w:pPr>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В</w:t>
            </w:r>
            <w:r w:rsidR="00884BD1" w:rsidRPr="00FB202F">
              <w:rPr>
                <w:rFonts w:ascii="Times New Roman" w:hAnsi="Times New Roman" w:cs="Times New Roman"/>
                <w:sz w:val="24"/>
                <w:szCs w:val="24"/>
              </w:rPr>
              <w:t>ъв</w:t>
            </w:r>
            <w:r w:rsidRPr="00FB202F">
              <w:rPr>
                <w:rFonts w:ascii="Times New Roman" w:hAnsi="Times New Roman" w:cs="Times New Roman"/>
                <w:sz w:val="24"/>
                <w:szCs w:val="24"/>
              </w:rPr>
              <w:t xml:space="preserve"> </w:t>
            </w:r>
            <w:r w:rsidR="00884BD1" w:rsidRPr="00FB202F">
              <w:rPr>
                <w:rFonts w:ascii="Times New Roman" w:hAnsi="Times New Roman" w:cs="Times New Roman"/>
                <w:sz w:val="24"/>
                <w:szCs w:val="24"/>
              </w:rPr>
              <w:t>ф</w:t>
            </w:r>
            <w:r w:rsidRPr="00FB202F">
              <w:rPr>
                <w:rFonts w:ascii="Times New Roman" w:hAnsi="Times New Roman" w:cs="Times New Roman"/>
                <w:sz w:val="24"/>
                <w:szCs w:val="24"/>
              </w:rPr>
              <w:t xml:space="preserve">ормуляра за кандидатстване в </w:t>
            </w:r>
            <w:r w:rsidR="00AC24B6" w:rsidRPr="00AC24B6">
              <w:rPr>
                <w:rFonts w:ascii="Times New Roman" w:hAnsi="Times New Roman" w:cs="Times New Roman"/>
                <w:sz w:val="24"/>
                <w:szCs w:val="24"/>
              </w:rPr>
              <w:t xml:space="preserve">Информационната система за управление и наблюдение на средствата от Европейските фондове при споделено управление (ИСУН) </w:t>
            </w:r>
            <w:r w:rsidR="00EC6327">
              <w:rPr>
                <w:rFonts w:ascii="Times New Roman" w:hAnsi="Times New Roman" w:cs="Times New Roman"/>
                <w:sz w:val="24"/>
                <w:szCs w:val="24"/>
              </w:rPr>
              <w:t xml:space="preserve"> </w:t>
            </w:r>
            <w:r w:rsidRPr="00FB202F">
              <w:rPr>
                <w:rFonts w:ascii="Times New Roman" w:hAnsi="Times New Roman" w:cs="Times New Roman"/>
                <w:sz w:val="24"/>
                <w:szCs w:val="24"/>
              </w:rPr>
              <w:t xml:space="preserve">кандидатите представят информация за съответствието на </w:t>
            </w:r>
            <w:r w:rsidR="00B42671" w:rsidRPr="00FB202F">
              <w:rPr>
                <w:rFonts w:ascii="Times New Roman" w:hAnsi="Times New Roman" w:cs="Times New Roman"/>
                <w:sz w:val="24"/>
                <w:szCs w:val="24"/>
              </w:rPr>
              <w:t>стратегията за ВОМР</w:t>
            </w:r>
            <w:r w:rsidRPr="00FB202F">
              <w:rPr>
                <w:rFonts w:ascii="Times New Roman" w:hAnsi="Times New Roman" w:cs="Times New Roman"/>
                <w:sz w:val="24"/>
                <w:szCs w:val="24"/>
              </w:rPr>
              <w:t xml:space="preserve"> с </w:t>
            </w:r>
            <w:r w:rsidR="00B42671" w:rsidRPr="00FB202F">
              <w:rPr>
                <w:rFonts w:ascii="Times New Roman" w:hAnsi="Times New Roman" w:cs="Times New Roman"/>
                <w:sz w:val="24"/>
                <w:szCs w:val="24"/>
              </w:rPr>
              <w:t>цитираните</w:t>
            </w:r>
            <w:r w:rsidRPr="00FB202F">
              <w:rPr>
                <w:rFonts w:ascii="Times New Roman" w:hAnsi="Times New Roman" w:cs="Times New Roman"/>
                <w:sz w:val="24"/>
                <w:szCs w:val="24"/>
              </w:rPr>
              <w:t xml:space="preserve"> по-горе принципи. </w:t>
            </w:r>
          </w:p>
        </w:tc>
      </w:tr>
    </w:tbl>
    <w:p w14:paraId="240F7C3D"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0F759DA2" w14:textId="77777777" w:rsidTr="000D7565">
        <w:tc>
          <w:tcPr>
            <w:tcW w:w="9781" w:type="dxa"/>
          </w:tcPr>
          <w:p w14:paraId="011DF64C" w14:textId="3E92CA7E" w:rsidR="003935EC" w:rsidRPr="00FB202F" w:rsidRDefault="00C56B8B" w:rsidP="007541D6">
            <w:pPr>
              <w:tabs>
                <w:tab w:val="left" w:pos="0"/>
                <w:tab w:val="left" w:pos="709"/>
              </w:tabs>
              <w:spacing w:line="276" w:lineRule="auto"/>
              <w:ind w:firstLine="567"/>
              <w:contextualSpacing/>
              <w:jc w:val="both"/>
              <w:rPr>
                <w:rFonts w:ascii="Times New Roman" w:hAnsi="Times New Roman" w:cs="Times New Roman"/>
                <w:b/>
                <w:sz w:val="24"/>
                <w:szCs w:val="24"/>
              </w:rPr>
            </w:pPr>
            <w:r>
              <w:rPr>
                <w:rFonts w:ascii="Times New Roman" w:hAnsi="Times New Roman" w:cs="Times New Roman"/>
                <w:b/>
                <w:sz w:val="24"/>
                <w:szCs w:val="24"/>
              </w:rPr>
              <w:t xml:space="preserve">18. </w:t>
            </w:r>
            <w:r w:rsidR="003935EC" w:rsidRPr="00FB202F">
              <w:rPr>
                <w:rFonts w:ascii="Times New Roman" w:hAnsi="Times New Roman" w:cs="Times New Roman"/>
                <w:b/>
                <w:sz w:val="24"/>
                <w:szCs w:val="24"/>
              </w:rPr>
              <w:t>Минимален и максимален срок за изпълнение на проектите:</w:t>
            </w:r>
          </w:p>
          <w:p w14:paraId="6A575D03" w14:textId="77777777" w:rsidR="00B42671" w:rsidRPr="00FB202F" w:rsidRDefault="00B42671" w:rsidP="00044F85">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Стратегията за ВОМР се разработва за период до 31 декември 2027 г.</w:t>
            </w:r>
          </w:p>
          <w:p w14:paraId="44695BC1" w14:textId="4494FD4E" w:rsidR="00F8686E" w:rsidRPr="00F8686E" w:rsidRDefault="00F8686E" w:rsidP="00F8686E">
            <w:pPr>
              <w:tabs>
                <w:tab w:val="left" w:pos="743"/>
              </w:tabs>
              <w:spacing w:line="276" w:lineRule="auto"/>
              <w:ind w:firstLine="567"/>
              <w:jc w:val="both"/>
              <w:rPr>
                <w:rFonts w:ascii="Times New Roman" w:hAnsi="Times New Roman" w:cs="Times New Roman"/>
                <w:sz w:val="24"/>
                <w:szCs w:val="24"/>
                <w:shd w:val="clear" w:color="auto" w:fill="FEFEFE"/>
              </w:rPr>
            </w:pPr>
            <w:r w:rsidRPr="00F8686E">
              <w:rPr>
                <w:rFonts w:ascii="Times New Roman" w:hAnsi="Times New Roman" w:cs="Times New Roman"/>
                <w:sz w:val="24"/>
                <w:szCs w:val="24"/>
                <w:shd w:val="clear" w:color="auto" w:fill="FEFEFE"/>
              </w:rPr>
              <w:t>Максималният период за изпълнение на дейностите и операциите по проектите към стратегиите за ВОМР, не може да надвишава 36 месеца за проекти на възложители по ЗОП</w:t>
            </w:r>
            <w:r w:rsidR="00F51A52">
              <w:rPr>
                <w:rFonts w:ascii="Times New Roman" w:hAnsi="Times New Roman" w:cs="Times New Roman"/>
                <w:sz w:val="24"/>
                <w:szCs w:val="24"/>
                <w:shd w:val="clear" w:color="auto" w:fill="FEFEFE"/>
                <w:lang w:val="en-US"/>
              </w:rPr>
              <w:t>/</w:t>
            </w:r>
            <w:r w:rsidR="00F51A52">
              <w:rPr>
                <w:rFonts w:ascii="Times New Roman" w:hAnsi="Times New Roman" w:cs="Times New Roman"/>
                <w:sz w:val="24"/>
                <w:szCs w:val="24"/>
                <w:shd w:val="clear" w:color="auto" w:fill="FEFEFE"/>
              </w:rPr>
              <w:t>П</w:t>
            </w:r>
            <w:r w:rsidR="00EB47B4">
              <w:rPr>
                <w:rFonts w:ascii="Times New Roman" w:hAnsi="Times New Roman" w:cs="Times New Roman"/>
                <w:sz w:val="24"/>
                <w:szCs w:val="24"/>
                <w:shd w:val="clear" w:color="auto" w:fill="FEFEFE"/>
              </w:rPr>
              <w:t xml:space="preserve">остановление </w:t>
            </w:r>
            <w:r w:rsidR="00F51A52">
              <w:rPr>
                <w:rFonts w:ascii="Times New Roman" w:hAnsi="Times New Roman" w:cs="Times New Roman"/>
                <w:sz w:val="24"/>
                <w:szCs w:val="24"/>
                <w:shd w:val="clear" w:color="auto" w:fill="FEFEFE"/>
              </w:rPr>
              <w:t xml:space="preserve">№ 4 </w:t>
            </w:r>
            <w:r w:rsidR="00EB47B4">
              <w:rPr>
                <w:rFonts w:ascii="Times New Roman" w:hAnsi="Times New Roman" w:cs="Times New Roman"/>
                <w:sz w:val="24"/>
                <w:szCs w:val="24"/>
                <w:shd w:val="clear" w:color="auto" w:fill="FEFEFE"/>
              </w:rPr>
              <w:t xml:space="preserve">на Министерския съвет </w:t>
            </w:r>
            <w:r w:rsidR="00F51A52">
              <w:rPr>
                <w:rFonts w:ascii="Times New Roman" w:hAnsi="Times New Roman" w:cs="Times New Roman"/>
                <w:sz w:val="24"/>
                <w:szCs w:val="24"/>
                <w:shd w:val="clear" w:color="auto" w:fill="FEFEFE"/>
              </w:rPr>
              <w:t xml:space="preserve">от </w:t>
            </w:r>
            <w:r w:rsidR="00EB47B4">
              <w:rPr>
                <w:rFonts w:ascii="Times New Roman" w:hAnsi="Times New Roman" w:cs="Times New Roman"/>
                <w:sz w:val="24"/>
                <w:szCs w:val="24"/>
                <w:shd w:val="clear" w:color="auto" w:fill="FEFEFE"/>
              </w:rPr>
              <w:t>11.01.</w:t>
            </w:r>
            <w:r w:rsidR="00F51A52">
              <w:rPr>
                <w:rFonts w:ascii="Times New Roman" w:hAnsi="Times New Roman" w:cs="Times New Roman"/>
                <w:sz w:val="24"/>
                <w:szCs w:val="24"/>
                <w:shd w:val="clear" w:color="auto" w:fill="FEFEFE"/>
              </w:rPr>
              <w:t>2024 г.</w:t>
            </w:r>
            <w:r w:rsidRPr="00F8686E">
              <w:rPr>
                <w:rFonts w:ascii="Times New Roman" w:hAnsi="Times New Roman" w:cs="Times New Roman"/>
                <w:sz w:val="24"/>
                <w:szCs w:val="24"/>
                <w:shd w:val="clear" w:color="auto" w:fill="FEFEFE"/>
              </w:rPr>
              <w:t xml:space="preserve"> </w:t>
            </w:r>
            <w:r w:rsidR="00EB47B4">
              <w:rPr>
                <w:rFonts w:ascii="Times New Roman" w:hAnsi="Times New Roman" w:cs="Times New Roman"/>
                <w:sz w:val="24"/>
                <w:szCs w:val="24"/>
                <w:shd w:val="clear" w:color="auto" w:fill="FEFEFE"/>
              </w:rPr>
              <w:t xml:space="preserve">за определяне на правилата за </w:t>
            </w:r>
            <w:r w:rsidR="003157D8">
              <w:rPr>
                <w:rFonts w:ascii="Times New Roman" w:hAnsi="Times New Roman" w:cs="Times New Roman"/>
                <w:sz w:val="24"/>
                <w:szCs w:val="24"/>
                <w:shd w:val="clear" w:color="auto" w:fill="FEFEFE"/>
              </w:rPr>
              <w:t>разглеждане</w:t>
            </w:r>
            <w:r w:rsidR="00EB47B4">
              <w:rPr>
                <w:rFonts w:ascii="Times New Roman" w:hAnsi="Times New Roman" w:cs="Times New Roman"/>
                <w:sz w:val="24"/>
                <w:szCs w:val="24"/>
                <w:shd w:val="clear" w:color="auto" w:fill="FEFEFE"/>
              </w:rPr>
              <w:t xml:space="preserve">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w:t>
            </w:r>
            <w:r w:rsidRPr="00F8686E">
              <w:rPr>
                <w:rFonts w:ascii="Times New Roman" w:hAnsi="Times New Roman" w:cs="Times New Roman"/>
                <w:sz w:val="24"/>
                <w:szCs w:val="24"/>
                <w:shd w:val="clear" w:color="auto" w:fill="FEFEFE"/>
              </w:rPr>
              <w:t xml:space="preserve">и 24 месеца за останалите бенефициенти. </w:t>
            </w:r>
          </w:p>
          <w:p w14:paraId="18F1D8B4" w14:textId="22C66D8F" w:rsidR="00F8686E" w:rsidRPr="00F8686E" w:rsidRDefault="00F8686E" w:rsidP="00F8686E">
            <w:pPr>
              <w:tabs>
                <w:tab w:val="left" w:pos="743"/>
              </w:tabs>
              <w:spacing w:line="276" w:lineRule="auto"/>
              <w:ind w:firstLine="567"/>
              <w:jc w:val="both"/>
              <w:rPr>
                <w:rFonts w:ascii="Times New Roman" w:hAnsi="Times New Roman" w:cs="Times New Roman"/>
                <w:sz w:val="24"/>
                <w:szCs w:val="24"/>
                <w:shd w:val="clear" w:color="auto" w:fill="FEFEFE"/>
              </w:rPr>
            </w:pPr>
            <w:r w:rsidRPr="00F8686E">
              <w:rPr>
                <w:rFonts w:ascii="Times New Roman" w:hAnsi="Times New Roman" w:cs="Times New Roman"/>
                <w:sz w:val="24"/>
                <w:szCs w:val="24"/>
                <w:shd w:val="clear" w:color="auto" w:fill="FEFEFE"/>
              </w:rPr>
              <w:t>Максималният период за изпълнение на дейностите за сътрудничество и подготвителни дейности за него е до 24 месеца за проекти, включващи строително-монтажни работи, и до 1</w:t>
            </w:r>
            <w:r w:rsidR="003157D8">
              <w:rPr>
                <w:rFonts w:ascii="Times New Roman" w:hAnsi="Times New Roman" w:cs="Times New Roman"/>
                <w:sz w:val="24"/>
                <w:szCs w:val="24"/>
                <w:shd w:val="clear" w:color="auto" w:fill="FEFEFE"/>
              </w:rPr>
              <w:t>8</w:t>
            </w:r>
            <w:r w:rsidRPr="00F8686E">
              <w:rPr>
                <w:rFonts w:ascii="Times New Roman" w:hAnsi="Times New Roman" w:cs="Times New Roman"/>
                <w:sz w:val="24"/>
                <w:szCs w:val="24"/>
                <w:shd w:val="clear" w:color="auto" w:fill="FEFEFE"/>
              </w:rPr>
              <w:t xml:space="preserve"> месеца за останалите дейности. Срокът започва да тече от датата на сключване на административния договор за предоставяне на безвъзмездна финансова помощ. </w:t>
            </w:r>
          </w:p>
          <w:p w14:paraId="757E75AE" w14:textId="075EFF28" w:rsidR="003935EC" w:rsidRPr="00FB202F" w:rsidRDefault="00B42671" w:rsidP="007541D6">
            <w:pPr>
              <w:spacing w:after="200"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Изпълнението на стратегията приключва с извършването и на последното плащане към бенефициент по проект, финансиран от стратегията за ВОМР.</w:t>
            </w:r>
          </w:p>
        </w:tc>
      </w:tr>
    </w:tbl>
    <w:p w14:paraId="2E2D13D0"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6B78D8D9" w14:textId="77777777" w:rsidTr="000D7565">
        <w:tc>
          <w:tcPr>
            <w:tcW w:w="9781" w:type="dxa"/>
          </w:tcPr>
          <w:p w14:paraId="125DE2BD" w14:textId="1D03F269" w:rsidR="003935EC" w:rsidRPr="00FB202F" w:rsidRDefault="001529DC" w:rsidP="007541D6">
            <w:pPr>
              <w:tabs>
                <w:tab w:val="left" w:pos="0"/>
                <w:tab w:val="left" w:pos="709"/>
              </w:tabs>
              <w:spacing w:line="276" w:lineRule="auto"/>
              <w:ind w:firstLine="567"/>
              <w:contextualSpacing/>
              <w:jc w:val="both"/>
              <w:rPr>
                <w:rFonts w:ascii="Times New Roman" w:hAnsi="Times New Roman" w:cs="Times New Roman"/>
                <w:b/>
                <w:sz w:val="24"/>
                <w:szCs w:val="24"/>
              </w:rPr>
            </w:pPr>
            <w:r>
              <w:rPr>
                <w:rFonts w:ascii="Times New Roman" w:hAnsi="Times New Roman" w:cs="Times New Roman"/>
                <w:b/>
                <w:sz w:val="24"/>
                <w:szCs w:val="24"/>
              </w:rPr>
              <w:t xml:space="preserve">19. </w:t>
            </w:r>
            <w:r w:rsidR="003935EC" w:rsidRPr="00FB202F">
              <w:rPr>
                <w:rFonts w:ascii="Times New Roman" w:hAnsi="Times New Roman" w:cs="Times New Roman"/>
                <w:b/>
                <w:sz w:val="24"/>
                <w:szCs w:val="24"/>
              </w:rPr>
              <w:t>Ред за оценяване на концепциите за проектни предложения:</w:t>
            </w:r>
          </w:p>
          <w:p w14:paraId="36D02DC6" w14:textId="77777777" w:rsidR="003935EC" w:rsidRPr="00FB202F" w:rsidRDefault="003935EC" w:rsidP="00044F85">
            <w:pPr>
              <w:tabs>
                <w:tab w:val="left" w:pos="0"/>
                <w:tab w:val="left" w:pos="34"/>
              </w:tabs>
              <w:spacing w:line="276" w:lineRule="auto"/>
              <w:ind w:firstLine="567"/>
              <w:contextualSpacing/>
              <w:jc w:val="both"/>
              <w:rPr>
                <w:rFonts w:ascii="Times New Roman" w:hAnsi="Times New Roman" w:cs="Times New Roman"/>
                <w:sz w:val="24"/>
                <w:szCs w:val="24"/>
              </w:rPr>
            </w:pPr>
            <w:r w:rsidRPr="00FB202F">
              <w:rPr>
                <w:rFonts w:ascii="Times New Roman" w:hAnsi="Times New Roman" w:cs="Times New Roman"/>
                <w:sz w:val="24"/>
                <w:szCs w:val="24"/>
              </w:rPr>
              <w:t>НЕПРИЛОЖИМО</w:t>
            </w:r>
          </w:p>
        </w:tc>
      </w:tr>
    </w:tbl>
    <w:p w14:paraId="1623E775"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FB202F" w:rsidRPr="00FB202F" w14:paraId="1567646C" w14:textId="77777777" w:rsidTr="000D7565">
        <w:tc>
          <w:tcPr>
            <w:tcW w:w="9781" w:type="dxa"/>
          </w:tcPr>
          <w:p w14:paraId="7A733942" w14:textId="3B77774B" w:rsidR="003935EC" w:rsidRPr="00FB202F" w:rsidRDefault="001529DC" w:rsidP="007541D6">
            <w:pPr>
              <w:tabs>
                <w:tab w:val="left" w:pos="0"/>
                <w:tab w:val="left" w:pos="709"/>
              </w:tabs>
              <w:spacing w:line="276" w:lineRule="auto"/>
              <w:ind w:firstLine="567"/>
              <w:contextualSpacing/>
              <w:jc w:val="both"/>
              <w:rPr>
                <w:rFonts w:ascii="Times New Roman" w:hAnsi="Times New Roman" w:cs="Times New Roman"/>
                <w:b/>
                <w:sz w:val="24"/>
                <w:szCs w:val="24"/>
              </w:rPr>
            </w:pPr>
            <w:r>
              <w:rPr>
                <w:rFonts w:ascii="Times New Roman" w:hAnsi="Times New Roman" w:cs="Times New Roman"/>
                <w:b/>
                <w:sz w:val="24"/>
                <w:szCs w:val="24"/>
              </w:rPr>
              <w:t xml:space="preserve">20. </w:t>
            </w:r>
            <w:r w:rsidR="003935EC" w:rsidRPr="00FB202F">
              <w:rPr>
                <w:rFonts w:ascii="Times New Roman" w:hAnsi="Times New Roman" w:cs="Times New Roman"/>
                <w:b/>
                <w:sz w:val="24"/>
                <w:szCs w:val="24"/>
              </w:rPr>
              <w:t>Критерии и методика за оценка на концепциите за проектни предложения:</w:t>
            </w:r>
          </w:p>
          <w:p w14:paraId="31689D4D" w14:textId="77777777" w:rsidR="003935EC" w:rsidRPr="00FB202F" w:rsidRDefault="003935EC" w:rsidP="00044F85">
            <w:pPr>
              <w:tabs>
                <w:tab w:val="left" w:pos="0"/>
                <w:tab w:val="left" w:pos="709"/>
              </w:tabs>
              <w:spacing w:line="276" w:lineRule="auto"/>
              <w:ind w:firstLine="567"/>
              <w:contextualSpacing/>
              <w:jc w:val="both"/>
              <w:rPr>
                <w:rFonts w:ascii="Times New Roman" w:hAnsi="Times New Roman" w:cs="Times New Roman"/>
                <w:sz w:val="24"/>
                <w:szCs w:val="24"/>
              </w:rPr>
            </w:pPr>
            <w:r w:rsidRPr="00FB202F">
              <w:rPr>
                <w:rFonts w:ascii="Times New Roman" w:hAnsi="Times New Roman" w:cs="Times New Roman"/>
                <w:sz w:val="24"/>
                <w:szCs w:val="24"/>
              </w:rPr>
              <w:t>НЕПРИЛОЖИМО</w:t>
            </w:r>
          </w:p>
        </w:tc>
      </w:tr>
    </w:tbl>
    <w:p w14:paraId="3A8447B8"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5890501D" w14:textId="77777777" w:rsidTr="000D7565">
        <w:tc>
          <w:tcPr>
            <w:tcW w:w="9781" w:type="dxa"/>
          </w:tcPr>
          <w:p w14:paraId="7FC0386E" w14:textId="37B10197" w:rsidR="003935EC" w:rsidRDefault="003935EC" w:rsidP="007541D6">
            <w:pPr>
              <w:tabs>
                <w:tab w:val="left" w:pos="0"/>
                <w:tab w:val="left" w:pos="709"/>
              </w:tabs>
              <w:spacing w:line="276" w:lineRule="auto"/>
              <w:ind w:firstLine="567"/>
              <w:jc w:val="both"/>
              <w:rPr>
                <w:rFonts w:ascii="Times New Roman" w:hAnsi="Times New Roman" w:cs="Times New Roman"/>
                <w:b/>
                <w:sz w:val="24"/>
                <w:szCs w:val="24"/>
                <w:shd w:val="clear" w:color="auto" w:fill="FEFEFE"/>
              </w:rPr>
            </w:pPr>
            <w:r w:rsidRPr="00FB202F">
              <w:rPr>
                <w:rFonts w:ascii="Times New Roman" w:hAnsi="Times New Roman" w:cs="Times New Roman"/>
                <w:b/>
                <w:sz w:val="24"/>
                <w:szCs w:val="24"/>
                <w:shd w:val="clear" w:color="auto" w:fill="FEFEFE"/>
              </w:rPr>
              <w:t xml:space="preserve">21. Ред за оценяване на </w:t>
            </w:r>
            <w:r w:rsidR="00AA575C">
              <w:rPr>
                <w:rFonts w:ascii="Times New Roman" w:hAnsi="Times New Roman" w:cs="Times New Roman"/>
                <w:b/>
                <w:sz w:val="24"/>
                <w:szCs w:val="24"/>
                <w:shd w:val="clear" w:color="auto" w:fill="FEFEFE"/>
              </w:rPr>
              <w:t>стратегиите за ВОМР</w:t>
            </w:r>
            <w:r w:rsidRPr="00FB202F">
              <w:rPr>
                <w:rFonts w:ascii="Times New Roman" w:hAnsi="Times New Roman" w:cs="Times New Roman"/>
                <w:b/>
                <w:sz w:val="24"/>
                <w:szCs w:val="24"/>
                <w:shd w:val="clear" w:color="auto" w:fill="FEFEFE"/>
              </w:rPr>
              <w:t>:</w:t>
            </w:r>
          </w:p>
          <w:p w14:paraId="1ED2378F" w14:textId="19D846A3" w:rsidR="003935EC" w:rsidRDefault="00B42671" w:rsidP="00044F85">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Подбор на стратегии за ВОМР се извършва от </w:t>
            </w:r>
            <w:r w:rsidR="001E1DE3">
              <w:rPr>
                <w:rFonts w:ascii="Times New Roman" w:hAnsi="Times New Roman" w:cs="Times New Roman"/>
                <w:sz w:val="24"/>
                <w:szCs w:val="24"/>
                <w:shd w:val="clear" w:color="auto" w:fill="FEFEFE"/>
              </w:rPr>
              <w:t>к</w:t>
            </w:r>
            <w:r w:rsidRPr="00FB202F">
              <w:rPr>
                <w:rFonts w:ascii="Times New Roman" w:hAnsi="Times New Roman" w:cs="Times New Roman"/>
                <w:sz w:val="24"/>
                <w:szCs w:val="24"/>
                <w:shd w:val="clear" w:color="auto" w:fill="FEFEFE"/>
              </w:rPr>
              <w:t xml:space="preserve">омитет за подбор, </w:t>
            </w:r>
            <w:r w:rsidR="00787AC7">
              <w:rPr>
                <w:rFonts w:ascii="Times New Roman" w:hAnsi="Times New Roman" w:cs="Times New Roman"/>
                <w:sz w:val="24"/>
                <w:szCs w:val="24"/>
                <w:shd w:val="clear" w:color="auto" w:fill="FEFEFE"/>
              </w:rPr>
              <w:t xml:space="preserve">назначен от Ръководителя на СПРЗСР в срок до три месеца от назначаването му. Подборът се извършва </w:t>
            </w:r>
            <w:r w:rsidR="002253F0" w:rsidRPr="00FB202F">
              <w:rPr>
                <w:rFonts w:ascii="Times New Roman" w:hAnsi="Times New Roman" w:cs="Times New Roman"/>
                <w:sz w:val="24"/>
                <w:szCs w:val="24"/>
                <w:shd w:val="clear" w:color="auto" w:fill="FEFEFE"/>
              </w:rPr>
              <w:t xml:space="preserve">съгласно условията и реда на </w:t>
            </w:r>
            <w:r w:rsidR="00BB20FC" w:rsidRPr="00BB20FC">
              <w:rPr>
                <w:rFonts w:ascii="Times New Roman" w:hAnsi="Times New Roman" w:cs="Times New Roman"/>
                <w:bCs/>
                <w:sz w:val="24"/>
                <w:szCs w:val="24"/>
                <w:shd w:val="clear" w:color="auto" w:fill="FEFEFE"/>
              </w:rPr>
              <w:t xml:space="preserve">ПМС № </w:t>
            </w:r>
            <w:r w:rsidR="00BB20FC" w:rsidRPr="00BB20FC">
              <w:rPr>
                <w:rFonts w:ascii="Times New Roman" w:hAnsi="Times New Roman" w:cs="Times New Roman"/>
                <w:bCs/>
                <w:sz w:val="24"/>
                <w:szCs w:val="24"/>
                <w:shd w:val="clear" w:color="auto" w:fill="FEFEFE"/>
                <w:lang w:val="en-US"/>
              </w:rPr>
              <w:t>4</w:t>
            </w:r>
            <w:r w:rsidR="00BB20FC" w:rsidRPr="00BB20FC">
              <w:rPr>
                <w:rFonts w:ascii="Times New Roman" w:hAnsi="Times New Roman" w:cs="Times New Roman"/>
                <w:bCs/>
                <w:sz w:val="24"/>
                <w:szCs w:val="24"/>
                <w:shd w:val="clear" w:color="auto" w:fill="FEFEFE"/>
              </w:rPr>
              <w:t>94 от 30.12.2024 г.</w:t>
            </w:r>
            <w:r w:rsidR="00BB20FC">
              <w:rPr>
                <w:rFonts w:ascii="Times New Roman" w:hAnsi="Times New Roman" w:cs="Times New Roman"/>
                <w:sz w:val="24"/>
                <w:szCs w:val="24"/>
                <w:shd w:val="clear" w:color="auto" w:fill="FEFEFE"/>
              </w:rPr>
              <w:t xml:space="preserve"> </w:t>
            </w:r>
            <w:r w:rsidR="001761CA">
              <w:rPr>
                <w:rFonts w:ascii="Times New Roman" w:hAnsi="Times New Roman" w:cs="Times New Roman"/>
                <w:sz w:val="24"/>
                <w:szCs w:val="24"/>
                <w:shd w:val="clear" w:color="auto" w:fill="FEFEFE"/>
              </w:rPr>
              <w:t xml:space="preserve">и включва: </w:t>
            </w:r>
          </w:p>
          <w:p w14:paraId="4FB8C5A4" w14:textId="77777777" w:rsidR="001761CA" w:rsidRPr="001761CA" w:rsidRDefault="001761CA" w:rsidP="007541D6">
            <w:pPr>
              <w:spacing w:line="276" w:lineRule="auto"/>
              <w:ind w:firstLine="567"/>
              <w:jc w:val="both"/>
              <w:rPr>
                <w:rFonts w:ascii="Times New Roman" w:hAnsi="Times New Roman" w:cs="Times New Roman"/>
                <w:sz w:val="24"/>
                <w:szCs w:val="24"/>
                <w:shd w:val="clear" w:color="auto" w:fill="FEFEFE"/>
              </w:rPr>
            </w:pPr>
            <w:r w:rsidRPr="001761CA">
              <w:rPr>
                <w:rFonts w:ascii="Times New Roman" w:hAnsi="Times New Roman" w:cs="Times New Roman"/>
                <w:sz w:val="24"/>
                <w:szCs w:val="24"/>
                <w:shd w:val="clear" w:color="auto" w:fill="FEFEFE"/>
              </w:rPr>
              <w:t>1. Оценка за административно съответствие и допустимост;</w:t>
            </w:r>
          </w:p>
          <w:p w14:paraId="7E82FF03" w14:textId="77777777" w:rsidR="001761CA" w:rsidRPr="001761CA" w:rsidRDefault="001761CA" w:rsidP="007541D6">
            <w:pPr>
              <w:spacing w:line="276" w:lineRule="auto"/>
              <w:ind w:firstLine="567"/>
              <w:jc w:val="both"/>
              <w:rPr>
                <w:rFonts w:ascii="Times New Roman" w:hAnsi="Times New Roman" w:cs="Times New Roman"/>
                <w:sz w:val="24"/>
                <w:szCs w:val="24"/>
                <w:shd w:val="clear" w:color="auto" w:fill="FEFEFE"/>
              </w:rPr>
            </w:pPr>
            <w:r w:rsidRPr="001761CA">
              <w:rPr>
                <w:rFonts w:ascii="Times New Roman" w:hAnsi="Times New Roman" w:cs="Times New Roman"/>
                <w:sz w:val="24"/>
                <w:szCs w:val="24"/>
                <w:shd w:val="clear" w:color="auto" w:fill="FEFEFE"/>
              </w:rPr>
              <w:t xml:space="preserve">2. Техническа и финансова оценка. </w:t>
            </w:r>
          </w:p>
          <w:p w14:paraId="027E1F83" w14:textId="4116EFAB" w:rsidR="001761CA" w:rsidRPr="002F2814" w:rsidRDefault="001761CA" w:rsidP="007541D6">
            <w:pPr>
              <w:spacing w:line="276" w:lineRule="auto"/>
              <w:ind w:firstLine="567"/>
              <w:jc w:val="both"/>
              <w:rPr>
                <w:rFonts w:ascii="Times New Roman" w:hAnsi="Times New Roman" w:cs="Times New Roman"/>
                <w:sz w:val="24"/>
                <w:szCs w:val="24"/>
                <w:shd w:val="clear" w:color="auto" w:fill="FEFEFE"/>
              </w:rPr>
            </w:pPr>
            <w:r w:rsidRPr="001761CA">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от членовете на комитета за подбор </w:t>
            </w:r>
            <w:r w:rsidR="00A07E6A" w:rsidRPr="00A07E6A">
              <w:rPr>
                <w:rFonts w:ascii="Times New Roman" w:hAnsi="Times New Roman" w:cs="Times New Roman"/>
                <w:sz w:val="24"/>
                <w:szCs w:val="24"/>
                <w:shd w:val="clear" w:color="auto" w:fill="FEFEFE"/>
              </w:rPr>
              <w:t>и се докумен</w:t>
            </w:r>
            <w:r w:rsidR="001E535C">
              <w:rPr>
                <w:rFonts w:ascii="Times New Roman" w:hAnsi="Times New Roman" w:cs="Times New Roman"/>
                <w:sz w:val="24"/>
                <w:szCs w:val="24"/>
                <w:shd w:val="clear" w:color="auto" w:fill="FEFEFE"/>
              </w:rPr>
              <w:t>тира чрез попълване на оценителе</w:t>
            </w:r>
            <w:r w:rsidR="00A07E6A" w:rsidRPr="00A07E6A">
              <w:rPr>
                <w:rFonts w:ascii="Times New Roman" w:hAnsi="Times New Roman" w:cs="Times New Roman"/>
                <w:sz w:val="24"/>
                <w:szCs w:val="24"/>
                <w:shd w:val="clear" w:color="auto" w:fill="FEFEFE"/>
              </w:rPr>
              <w:t xml:space="preserve">н лист в ИСУН, който </w:t>
            </w:r>
            <w:r w:rsidR="00A07E6A" w:rsidRPr="00A07E6A">
              <w:rPr>
                <w:rFonts w:ascii="Times New Roman" w:hAnsi="Times New Roman" w:cs="Times New Roman"/>
                <w:sz w:val="24"/>
                <w:szCs w:val="24"/>
                <w:shd w:val="clear" w:color="auto" w:fill="FEFEFE"/>
              </w:rPr>
              <w:lastRenderedPageBreak/>
              <w:t xml:space="preserve">включва всички приложими критерии. </w:t>
            </w:r>
            <w:r w:rsidR="00A07E6A">
              <w:rPr>
                <w:rFonts w:ascii="Times New Roman" w:hAnsi="Times New Roman" w:cs="Times New Roman"/>
                <w:sz w:val="24"/>
                <w:szCs w:val="24"/>
                <w:shd w:val="clear" w:color="auto" w:fill="FEFEFE"/>
              </w:rPr>
              <w:t>О</w:t>
            </w:r>
            <w:r w:rsidR="00A07E6A" w:rsidRPr="00A07E6A">
              <w:rPr>
                <w:rFonts w:ascii="Times New Roman" w:hAnsi="Times New Roman" w:cs="Times New Roman"/>
                <w:sz w:val="24"/>
                <w:szCs w:val="24"/>
                <w:shd w:val="clear" w:color="auto" w:fill="FEFEFE"/>
              </w:rPr>
              <w:t>ценка</w:t>
            </w:r>
            <w:r w:rsidR="001E535C">
              <w:rPr>
                <w:rFonts w:ascii="Times New Roman" w:hAnsi="Times New Roman" w:cs="Times New Roman"/>
                <w:sz w:val="24"/>
                <w:szCs w:val="24"/>
                <w:shd w:val="clear" w:color="auto" w:fill="FEFEFE"/>
              </w:rPr>
              <w:t>та</w:t>
            </w:r>
            <w:r w:rsidR="00A07E6A" w:rsidRPr="00A07E6A">
              <w:rPr>
                <w:rFonts w:ascii="Times New Roman" w:hAnsi="Times New Roman" w:cs="Times New Roman"/>
                <w:sz w:val="24"/>
                <w:szCs w:val="24"/>
                <w:shd w:val="clear" w:color="auto" w:fill="FEFEFE"/>
              </w:rPr>
              <w:t xml:space="preserve"> включва проверка </w:t>
            </w:r>
            <w:r w:rsidR="001E535C">
              <w:rPr>
                <w:rFonts w:ascii="Times New Roman" w:hAnsi="Times New Roman" w:cs="Times New Roman"/>
                <w:sz w:val="24"/>
                <w:szCs w:val="24"/>
                <w:shd w:val="clear" w:color="auto" w:fill="FEFEFE"/>
              </w:rPr>
              <w:t>на</w:t>
            </w:r>
            <w:r w:rsidR="00A07E6A" w:rsidRPr="00A07E6A">
              <w:rPr>
                <w:rFonts w:ascii="Times New Roman" w:hAnsi="Times New Roman" w:cs="Times New Roman"/>
                <w:sz w:val="24"/>
                <w:szCs w:val="24"/>
                <w:shd w:val="clear" w:color="auto" w:fill="FEFEFE"/>
              </w:rPr>
              <w:t xml:space="preserve"> административното съответствие на проектното предложение и допустимост на кандидата и </w:t>
            </w:r>
            <w:r w:rsidR="00A07E6A">
              <w:rPr>
                <w:rFonts w:ascii="Times New Roman" w:hAnsi="Times New Roman" w:cs="Times New Roman"/>
                <w:sz w:val="24"/>
                <w:szCs w:val="24"/>
                <w:shd w:val="clear" w:color="auto" w:fill="FEFEFE"/>
              </w:rPr>
              <w:t>стратегията</w:t>
            </w:r>
            <w:r w:rsidR="00E25594">
              <w:rPr>
                <w:rFonts w:ascii="Times New Roman" w:hAnsi="Times New Roman" w:cs="Times New Roman"/>
                <w:sz w:val="24"/>
                <w:szCs w:val="24"/>
                <w:shd w:val="clear" w:color="auto" w:fill="FEFEFE"/>
              </w:rPr>
              <w:t xml:space="preserve"> за  ВОМР</w:t>
            </w:r>
            <w:r w:rsidR="00A07E6A">
              <w:rPr>
                <w:rFonts w:ascii="Times New Roman" w:hAnsi="Times New Roman" w:cs="Times New Roman"/>
                <w:sz w:val="24"/>
                <w:szCs w:val="24"/>
                <w:shd w:val="clear" w:color="auto" w:fill="FEFEFE"/>
              </w:rPr>
              <w:t>.</w:t>
            </w:r>
            <w:r w:rsidR="00A07E6A" w:rsidRPr="00A07E6A">
              <w:rPr>
                <w:rFonts w:ascii="Times New Roman" w:hAnsi="Times New Roman" w:cs="Times New Roman"/>
                <w:sz w:val="24"/>
                <w:szCs w:val="24"/>
                <w:shd w:val="clear" w:color="auto" w:fill="FEFEFE"/>
              </w:rPr>
              <w:t xml:space="preserve"> За да бъде одобрено за предоставяне на безвъзмездна финансова помощ, проектното предложение трябва да отговаря на всички критерии („ДА“ или „Неприложимо“)</w:t>
            </w:r>
            <w:r w:rsidR="00A07E6A" w:rsidRPr="00A07E6A">
              <w:rPr>
                <w:rFonts w:ascii="Times New Roman" w:hAnsi="Times New Roman" w:cs="Times New Roman"/>
                <w:sz w:val="24"/>
                <w:szCs w:val="24"/>
                <w:shd w:val="clear" w:color="auto" w:fill="FEFEFE"/>
                <w:lang w:val="en-US"/>
              </w:rPr>
              <w:t xml:space="preserve"> </w:t>
            </w:r>
            <w:r w:rsidR="00A07E6A" w:rsidRPr="00A07E6A">
              <w:rPr>
                <w:rFonts w:ascii="Times New Roman" w:hAnsi="Times New Roman" w:cs="Times New Roman"/>
                <w:sz w:val="24"/>
                <w:szCs w:val="24"/>
                <w:shd w:val="clear" w:color="auto" w:fill="FEFEFE"/>
              </w:rPr>
              <w:t xml:space="preserve"> </w:t>
            </w:r>
            <w:r w:rsidRPr="0060581B">
              <w:rPr>
                <w:rFonts w:ascii="Times New Roman" w:hAnsi="Times New Roman" w:cs="Times New Roman"/>
                <w:sz w:val="24"/>
                <w:szCs w:val="24"/>
                <w:shd w:val="clear" w:color="auto" w:fill="FEFEFE"/>
              </w:rPr>
              <w:t xml:space="preserve">съгласно приложение № </w:t>
            </w:r>
            <w:r w:rsidR="00647EDB">
              <w:rPr>
                <w:rFonts w:ascii="Times New Roman" w:hAnsi="Times New Roman" w:cs="Times New Roman"/>
                <w:sz w:val="24"/>
                <w:szCs w:val="24"/>
                <w:shd w:val="clear" w:color="auto" w:fill="FEFEFE"/>
              </w:rPr>
              <w:t>4</w:t>
            </w:r>
            <w:r w:rsidR="002974F6">
              <w:rPr>
                <w:rFonts w:ascii="Times New Roman" w:hAnsi="Times New Roman" w:cs="Times New Roman"/>
                <w:sz w:val="24"/>
                <w:szCs w:val="24"/>
                <w:shd w:val="clear" w:color="auto" w:fill="FEFEFE"/>
              </w:rPr>
              <w:t>.</w:t>
            </w:r>
            <w:r w:rsidRPr="0060581B">
              <w:rPr>
                <w:rFonts w:ascii="Times New Roman" w:hAnsi="Times New Roman" w:cs="Times New Roman"/>
                <w:sz w:val="24"/>
                <w:szCs w:val="24"/>
                <w:shd w:val="clear" w:color="auto" w:fill="FEFEFE"/>
              </w:rPr>
              <w:t xml:space="preserve"> </w:t>
            </w:r>
          </w:p>
          <w:p w14:paraId="6EEEBCD4" w14:textId="4A914FCB" w:rsidR="00287E97" w:rsidRPr="00751BA3" w:rsidRDefault="00E25594" w:rsidP="00287E97">
            <w:pPr>
              <w:spacing w:line="276" w:lineRule="auto"/>
              <w:ind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Когато в хода на оценката се установи липса на документи и/или неяснота или неточност на представените документи председателят на комитета уведомява МИГ, която в срок до 10 </w:t>
            </w:r>
            <w:r w:rsidRPr="00751BA3">
              <w:rPr>
                <w:rFonts w:ascii="Times New Roman" w:hAnsi="Times New Roman" w:cs="Times New Roman"/>
                <w:sz w:val="24"/>
                <w:szCs w:val="24"/>
                <w:shd w:val="clear" w:color="auto" w:fill="FEFEFE"/>
              </w:rPr>
              <w:t xml:space="preserve">работни дни от датата на уведомяването може </w:t>
            </w:r>
            <w:r w:rsidR="0064391F" w:rsidRPr="001637BC">
              <w:rPr>
                <w:rFonts w:ascii="Times New Roman" w:hAnsi="Times New Roman" w:cs="Times New Roman"/>
                <w:sz w:val="24"/>
                <w:szCs w:val="24"/>
                <w:shd w:val="clear" w:color="auto" w:fill="FEFEFE"/>
              </w:rPr>
              <w:t>да представи</w:t>
            </w:r>
            <w:r w:rsidR="0064391F" w:rsidRPr="00751BA3">
              <w:rPr>
                <w:rFonts w:ascii="Times New Roman" w:hAnsi="Times New Roman" w:cs="Times New Roman"/>
                <w:sz w:val="24"/>
                <w:szCs w:val="24"/>
                <w:shd w:val="clear" w:color="auto" w:fill="FEFEFE"/>
              </w:rPr>
              <w:t xml:space="preserve"> чрез ИСУН</w:t>
            </w:r>
            <w:r w:rsidR="0064391F" w:rsidRPr="001637BC">
              <w:rPr>
                <w:rFonts w:ascii="Times New Roman" w:hAnsi="Times New Roman" w:cs="Times New Roman"/>
                <w:sz w:val="24"/>
                <w:szCs w:val="24"/>
                <w:shd w:val="clear" w:color="auto" w:fill="FEFEFE"/>
              </w:rPr>
              <w:t xml:space="preserve"> </w:t>
            </w:r>
            <w:r w:rsidR="00DC48DA" w:rsidRPr="00751BA3">
              <w:rPr>
                <w:rFonts w:ascii="Times New Roman" w:hAnsi="Times New Roman" w:cs="Times New Roman"/>
                <w:sz w:val="24"/>
                <w:szCs w:val="24"/>
                <w:shd w:val="clear" w:color="auto" w:fill="FEFEFE"/>
              </w:rPr>
              <w:t xml:space="preserve">2020 </w:t>
            </w:r>
            <w:r w:rsidR="0064391F" w:rsidRPr="001637BC">
              <w:rPr>
                <w:rFonts w:ascii="Times New Roman" w:hAnsi="Times New Roman" w:cs="Times New Roman"/>
                <w:sz w:val="24"/>
                <w:szCs w:val="24"/>
                <w:shd w:val="clear" w:color="auto" w:fill="FEFEFE"/>
              </w:rPr>
              <w:t>допълнителна информация и/или документи</w:t>
            </w:r>
            <w:r w:rsidRPr="00751BA3">
              <w:rPr>
                <w:rFonts w:ascii="Times New Roman" w:hAnsi="Times New Roman" w:cs="Times New Roman"/>
                <w:sz w:val="24"/>
                <w:szCs w:val="24"/>
                <w:shd w:val="clear" w:color="auto" w:fill="FEFEFE"/>
              </w:rPr>
              <w:t xml:space="preserve">. </w:t>
            </w:r>
            <w:r w:rsidR="00287E97" w:rsidRPr="00AB74F6">
              <w:rPr>
                <w:rFonts w:ascii="Times New Roman" w:hAnsi="Times New Roman" w:cs="Times New Roman"/>
                <w:sz w:val="24"/>
                <w:szCs w:val="24"/>
                <w:shd w:val="clear" w:color="auto" w:fill="FEFEFE"/>
              </w:rPr>
              <w:t>Комитетът за подбор</w:t>
            </w:r>
            <w:r w:rsidR="00287E97" w:rsidRPr="00B409D1">
              <w:rPr>
                <w:rFonts w:ascii="Times New Roman" w:hAnsi="Times New Roman" w:cs="Times New Roman"/>
                <w:sz w:val="24"/>
                <w:szCs w:val="24"/>
                <w:shd w:val="clear" w:color="auto" w:fill="FEFEFE"/>
              </w:rPr>
              <w:t xml:space="preserve"> не носи отговорност, ако поради грешни и/или</w:t>
            </w:r>
            <w:r w:rsidR="00287E97" w:rsidRPr="00287E97">
              <w:rPr>
                <w:rFonts w:ascii="Times New Roman" w:hAnsi="Times New Roman" w:cs="Times New Roman"/>
                <w:sz w:val="24"/>
                <w:szCs w:val="24"/>
                <w:shd w:val="clear" w:color="auto" w:fill="FEFEFE"/>
              </w:rPr>
              <w:t xml:space="preserve"> непълни данни за кореспонденция, предоставени от самите кандидати, те не </w:t>
            </w:r>
            <w:r w:rsidR="00287E97" w:rsidRPr="00751BA3">
              <w:rPr>
                <w:rFonts w:ascii="Times New Roman" w:hAnsi="Times New Roman" w:cs="Times New Roman"/>
                <w:sz w:val="24"/>
                <w:szCs w:val="24"/>
                <w:shd w:val="clear" w:color="auto" w:fill="FEFEFE"/>
              </w:rPr>
              <w:t>получават кореспонденцията.</w:t>
            </w:r>
          </w:p>
          <w:p w14:paraId="10501E86" w14:textId="2A3B02BC" w:rsidR="00A07E6A" w:rsidRDefault="00B30EA1" w:rsidP="007541D6">
            <w:pPr>
              <w:spacing w:line="276" w:lineRule="auto"/>
              <w:ind w:firstLine="567"/>
              <w:jc w:val="both"/>
              <w:rPr>
                <w:rFonts w:ascii="Times New Roman" w:hAnsi="Times New Roman" w:cs="Times New Roman"/>
                <w:sz w:val="24"/>
                <w:szCs w:val="24"/>
                <w:shd w:val="clear" w:color="auto" w:fill="FEFEFE"/>
              </w:rPr>
            </w:pPr>
            <w:r w:rsidRPr="001637BC">
              <w:rPr>
                <w:rFonts w:ascii="Times New Roman" w:hAnsi="Times New Roman" w:cs="Times New Roman"/>
                <w:sz w:val="24"/>
                <w:szCs w:val="24"/>
                <w:shd w:val="clear" w:color="auto" w:fill="FEFEFE"/>
              </w:rPr>
              <w:t>Отстраняването на нередовностите не може да води до подобряване на качеството на стратегията за ВОМР.</w:t>
            </w:r>
            <w:r w:rsidRPr="00751BA3">
              <w:rPr>
                <w:rFonts w:ascii="Times New Roman" w:hAnsi="Times New Roman" w:cs="Times New Roman"/>
                <w:sz w:val="24"/>
                <w:szCs w:val="24"/>
                <w:shd w:val="clear" w:color="auto" w:fill="FEFEFE"/>
              </w:rPr>
              <w:t xml:space="preserve"> </w:t>
            </w:r>
            <w:r w:rsidR="0064391F" w:rsidRPr="00751BA3">
              <w:rPr>
                <w:rFonts w:ascii="Times New Roman" w:hAnsi="Times New Roman" w:cs="Times New Roman"/>
                <w:sz w:val="24"/>
                <w:szCs w:val="24"/>
                <w:shd w:val="clear" w:color="auto" w:fill="FEFEFE"/>
              </w:rPr>
              <w:t>Неотстраняването</w:t>
            </w:r>
            <w:r w:rsidR="0064391F">
              <w:rPr>
                <w:rFonts w:ascii="Times New Roman" w:hAnsi="Times New Roman" w:cs="Times New Roman"/>
                <w:sz w:val="24"/>
                <w:szCs w:val="24"/>
                <w:shd w:val="clear" w:color="auto" w:fill="FEFEFE"/>
              </w:rPr>
              <w:t xml:space="preserve"> на нередовностите в срок може да доведе до прекратяване на производството спр</w:t>
            </w:r>
            <w:r w:rsidR="000D0E28">
              <w:rPr>
                <w:rFonts w:ascii="Times New Roman" w:hAnsi="Times New Roman" w:cs="Times New Roman"/>
                <w:sz w:val="24"/>
                <w:szCs w:val="24"/>
                <w:shd w:val="clear" w:color="auto" w:fill="FEFEFE"/>
              </w:rPr>
              <w:t>я</w:t>
            </w:r>
            <w:r w:rsidR="0064391F">
              <w:rPr>
                <w:rFonts w:ascii="Times New Roman" w:hAnsi="Times New Roman" w:cs="Times New Roman"/>
                <w:sz w:val="24"/>
                <w:szCs w:val="24"/>
                <w:shd w:val="clear" w:color="auto" w:fill="FEFEFE"/>
              </w:rPr>
              <w:t xml:space="preserve">мо кандидата. </w:t>
            </w:r>
          </w:p>
          <w:p w14:paraId="7E14FC49" w14:textId="3165C0B8" w:rsidR="00BB20FC" w:rsidRPr="00BB20FC" w:rsidRDefault="00BB20FC" w:rsidP="00BB20FC">
            <w:pPr>
              <w:spacing w:line="276" w:lineRule="auto"/>
              <w:ind w:firstLine="567"/>
              <w:jc w:val="both"/>
              <w:rPr>
                <w:rFonts w:ascii="Times New Roman" w:hAnsi="Times New Roman" w:cs="Times New Roman"/>
                <w:sz w:val="24"/>
                <w:szCs w:val="24"/>
                <w:shd w:val="clear" w:color="auto" w:fill="FEFEFE"/>
              </w:rPr>
            </w:pPr>
            <w:r w:rsidRPr="00BB20FC">
              <w:rPr>
                <w:rFonts w:ascii="Times New Roman" w:hAnsi="Times New Roman" w:cs="Times New Roman"/>
                <w:sz w:val="24"/>
                <w:szCs w:val="24"/>
                <w:shd w:val="clear" w:color="auto" w:fill="FEFEFE"/>
              </w:rPr>
              <w:t>След приключване на оценката на административно съответствие и допустимост на интернет страницата на Министерството на земеделието</w:t>
            </w:r>
            <w:r>
              <w:rPr>
                <w:rFonts w:ascii="Times New Roman" w:hAnsi="Times New Roman" w:cs="Times New Roman"/>
                <w:sz w:val="24"/>
                <w:szCs w:val="24"/>
                <w:shd w:val="clear" w:color="auto" w:fill="FEFEFE"/>
              </w:rPr>
              <w:t xml:space="preserve"> и</w:t>
            </w:r>
            <w:r w:rsidRPr="00BB20FC">
              <w:rPr>
                <w:rFonts w:ascii="Times New Roman" w:hAnsi="Times New Roman" w:cs="Times New Roman"/>
                <w:sz w:val="24"/>
                <w:szCs w:val="24"/>
                <w:shd w:val="clear" w:color="auto" w:fill="FEFEFE"/>
              </w:rPr>
              <w:t xml:space="preserve"> храните и в ИСУН 2020 се публикува списък на </w:t>
            </w:r>
            <w:r w:rsidR="0061626A">
              <w:rPr>
                <w:rFonts w:ascii="Times New Roman" w:hAnsi="Times New Roman" w:cs="Times New Roman"/>
                <w:sz w:val="24"/>
                <w:szCs w:val="24"/>
                <w:shd w:val="clear" w:color="auto" w:fill="FEFEFE"/>
              </w:rPr>
              <w:t>стратегиите</w:t>
            </w:r>
            <w:r w:rsidR="00287E97">
              <w:rPr>
                <w:rFonts w:ascii="Times New Roman" w:hAnsi="Times New Roman" w:cs="Times New Roman"/>
                <w:sz w:val="24"/>
                <w:szCs w:val="24"/>
                <w:shd w:val="clear" w:color="auto" w:fill="FEFEFE"/>
              </w:rPr>
              <w:t xml:space="preserve"> за ВОМР</w:t>
            </w:r>
            <w:r w:rsidRPr="00BB20FC">
              <w:rPr>
                <w:rFonts w:ascii="Times New Roman" w:hAnsi="Times New Roman" w:cs="Times New Roman"/>
                <w:sz w:val="24"/>
                <w:szCs w:val="24"/>
                <w:shd w:val="clear" w:color="auto" w:fill="FEFEFE"/>
              </w:rPr>
              <w:t>,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чрез ИСУН</w:t>
            </w:r>
            <w:r w:rsidR="00806910">
              <w:rPr>
                <w:rFonts w:ascii="Times New Roman" w:hAnsi="Times New Roman" w:cs="Times New Roman"/>
                <w:sz w:val="24"/>
                <w:szCs w:val="24"/>
                <w:shd w:val="clear" w:color="auto" w:fill="FEFEFE"/>
              </w:rPr>
              <w:t xml:space="preserve"> 2020</w:t>
            </w:r>
            <w:r w:rsidRPr="00BB20FC">
              <w:rPr>
                <w:rFonts w:ascii="Times New Roman" w:hAnsi="Times New Roman" w:cs="Times New Roman"/>
                <w:sz w:val="24"/>
                <w:szCs w:val="24"/>
                <w:shd w:val="clear" w:color="auto" w:fill="FEFEFE"/>
              </w:rPr>
              <w:t xml:space="preserve">. </w:t>
            </w:r>
          </w:p>
          <w:p w14:paraId="4E658D46" w14:textId="27F55D12" w:rsidR="001761CA" w:rsidRDefault="001761CA" w:rsidP="007541D6">
            <w:pPr>
              <w:spacing w:line="276" w:lineRule="auto"/>
              <w:ind w:firstLine="567"/>
              <w:jc w:val="both"/>
              <w:rPr>
                <w:rFonts w:ascii="Times New Roman" w:hAnsi="Times New Roman" w:cs="Times New Roman"/>
                <w:sz w:val="24"/>
                <w:szCs w:val="24"/>
                <w:shd w:val="clear" w:color="auto" w:fill="FEFEFE"/>
              </w:rPr>
            </w:pPr>
            <w:r w:rsidRPr="002F2814">
              <w:rPr>
                <w:rFonts w:ascii="Times New Roman" w:hAnsi="Times New Roman" w:cs="Times New Roman"/>
                <w:sz w:val="24"/>
                <w:szCs w:val="24"/>
                <w:shd w:val="clear" w:color="auto" w:fill="FEFEFE"/>
              </w:rPr>
              <w:t>Техническа</w:t>
            </w:r>
            <w:r w:rsidR="00287E97">
              <w:rPr>
                <w:rFonts w:ascii="Times New Roman" w:hAnsi="Times New Roman" w:cs="Times New Roman"/>
                <w:sz w:val="24"/>
                <w:szCs w:val="24"/>
                <w:shd w:val="clear" w:color="auto" w:fill="FEFEFE"/>
              </w:rPr>
              <w:t xml:space="preserve"> и финансова</w:t>
            </w:r>
            <w:r w:rsidRPr="002F2814">
              <w:rPr>
                <w:rFonts w:ascii="Times New Roman" w:hAnsi="Times New Roman" w:cs="Times New Roman"/>
                <w:sz w:val="24"/>
                <w:szCs w:val="24"/>
                <w:shd w:val="clear" w:color="auto" w:fill="FEFEFE"/>
              </w:rPr>
              <w:t xml:space="preserve"> оценка се извършва по критерии, одобрени от </w:t>
            </w:r>
            <w:r w:rsidR="001E1DE3">
              <w:rPr>
                <w:rFonts w:ascii="Times New Roman" w:hAnsi="Times New Roman" w:cs="Times New Roman"/>
                <w:sz w:val="24"/>
                <w:szCs w:val="24"/>
                <w:shd w:val="clear" w:color="auto" w:fill="FEFEFE"/>
              </w:rPr>
              <w:t>к</w:t>
            </w:r>
            <w:r w:rsidRPr="002F2814">
              <w:rPr>
                <w:rFonts w:ascii="Times New Roman" w:hAnsi="Times New Roman" w:cs="Times New Roman"/>
                <w:sz w:val="24"/>
                <w:szCs w:val="24"/>
                <w:shd w:val="clear" w:color="auto" w:fill="FEFEFE"/>
              </w:rPr>
              <w:t xml:space="preserve">омитета за наблюдение на СПРЗСР, съгласно приложение № </w:t>
            </w:r>
            <w:r w:rsidR="00647EDB">
              <w:rPr>
                <w:rFonts w:ascii="Times New Roman" w:hAnsi="Times New Roman" w:cs="Times New Roman"/>
                <w:sz w:val="24"/>
                <w:szCs w:val="24"/>
                <w:shd w:val="clear" w:color="auto" w:fill="FEFEFE"/>
              </w:rPr>
              <w:t>5</w:t>
            </w:r>
            <w:r w:rsidRPr="002F2814">
              <w:rPr>
                <w:rFonts w:ascii="Times New Roman" w:hAnsi="Times New Roman" w:cs="Times New Roman"/>
                <w:sz w:val="24"/>
                <w:szCs w:val="24"/>
                <w:shd w:val="clear" w:color="auto" w:fill="FEFEFE"/>
              </w:rPr>
              <w:t>.</w:t>
            </w:r>
          </w:p>
          <w:p w14:paraId="70D6723F" w14:textId="0B004F3D" w:rsidR="00A07E6A" w:rsidRDefault="00083A22" w:rsidP="00A07E6A">
            <w:pPr>
              <w:spacing w:line="276" w:lineRule="auto"/>
              <w:ind w:firstLine="567"/>
              <w:jc w:val="both"/>
              <w:rPr>
                <w:rFonts w:ascii="Times New Roman" w:hAnsi="Times New Roman" w:cs="Times New Roman"/>
                <w:sz w:val="24"/>
                <w:szCs w:val="24"/>
                <w:shd w:val="clear" w:color="auto" w:fill="FEFEFE"/>
              </w:rPr>
            </w:pPr>
            <w:r w:rsidRPr="00083A22">
              <w:rPr>
                <w:rFonts w:ascii="Times New Roman" w:hAnsi="Times New Roman" w:cs="Times New Roman"/>
                <w:sz w:val="24"/>
                <w:szCs w:val="24"/>
                <w:shd w:val="clear" w:color="auto" w:fill="FEFEFE"/>
              </w:rPr>
              <w:t xml:space="preserve">След приключване на етапа на техническа и финансова оценка, </w:t>
            </w:r>
            <w:r w:rsidR="008A5815">
              <w:rPr>
                <w:rFonts w:ascii="Times New Roman" w:hAnsi="Times New Roman" w:cs="Times New Roman"/>
                <w:sz w:val="24"/>
                <w:szCs w:val="24"/>
                <w:shd w:val="clear" w:color="auto" w:fill="FEFEFE"/>
              </w:rPr>
              <w:t>с</w:t>
            </w:r>
            <w:r w:rsidR="003A6D5E">
              <w:rPr>
                <w:rFonts w:ascii="Times New Roman" w:hAnsi="Times New Roman" w:cs="Times New Roman"/>
                <w:sz w:val="24"/>
                <w:szCs w:val="24"/>
                <w:shd w:val="clear" w:color="auto" w:fill="FEFEFE"/>
              </w:rPr>
              <w:t>тр</w:t>
            </w:r>
            <w:r w:rsidR="00E2191C">
              <w:rPr>
                <w:rFonts w:ascii="Times New Roman" w:hAnsi="Times New Roman" w:cs="Times New Roman"/>
                <w:sz w:val="24"/>
                <w:szCs w:val="24"/>
                <w:shd w:val="clear" w:color="auto" w:fill="FEFEFE"/>
              </w:rPr>
              <w:t>а</w:t>
            </w:r>
            <w:r w:rsidR="003A6D5E">
              <w:rPr>
                <w:rFonts w:ascii="Times New Roman" w:hAnsi="Times New Roman" w:cs="Times New Roman"/>
                <w:sz w:val="24"/>
                <w:szCs w:val="24"/>
                <w:shd w:val="clear" w:color="auto" w:fill="FEFEFE"/>
              </w:rPr>
              <w:t>тегиите за ВОМР</w:t>
            </w:r>
            <w:r w:rsidRPr="00083A22">
              <w:rPr>
                <w:rFonts w:ascii="Times New Roman" w:hAnsi="Times New Roman" w:cs="Times New Roman"/>
                <w:sz w:val="24"/>
                <w:szCs w:val="24"/>
                <w:shd w:val="clear" w:color="auto" w:fill="FEFEFE"/>
              </w:rPr>
              <w:t xml:space="preserve"> се класират според общия брой получени точки, като </w:t>
            </w:r>
            <w:r>
              <w:rPr>
                <w:rFonts w:ascii="Times New Roman" w:hAnsi="Times New Roman" w:cs="Times New Roman"/>
                <w:sz w:val="24"/>
                <w:szCs w:val="24"/>
                <w:shd w:val="clear" w:color="auto" w:fill="FEFEFE"/>
              </w:rPr>
              <w:t>комитетът по подбор</w:t>
            </w:r>
            <w:r w:rsidRPr="00083A22">
              <w:rPr>
                <w:rFonts w:ascii="Times New Roman" w:hAnsi="Times New Roman" w:cs="Times New Roman"/>
                <w:sz w:val="24"/>
                <w:szCs w:val="24"/>
                <w:shd w:val="clear" w:color="auto" w:fill="FEFEFE"/>
              </w:rPr>
              <w:t xml:space="preserve"> предлага за одобрение в низходящ ред </w:t>
            </w:r>
            <w:r w:rsidR="003A6D5E">
              <w:rPr>
                <w:rFonts w:ascii="Times New Roman" w:hAnsi="Times New Roman" w:cs="Times New Roman"/>
                <w:sz w:val="24"/>
                <w:szCs w:val="24"/>
                <w:shd w:val="clear" w:color="auto" w:fill="FEFEFE"/>
              </w:rPr>
              <w:t>стратегии</w:t>
            </w:r>
            <w:r w:rsidR="00E2191C">
              <w:rPr>
                <w:rFonts w:ascii="Times New Roman" w:hAnsi="Times New Roman" w:cs="Times New Roman"/>
                <w:sz w:val="24"/>
                <w:szCs w:val="24"/>
                <w:shd w:val="clear" w:color="auto" w:fill="FEFEFE"/>
              </w:rPr>
              <w:t>т</w:t>
            </w:r>
            <w:r w:rsidR="003A6D5E">
              <w:rPr>
                <w:rFonts w:ascii="Times New Roman" w:hAnsi="Times New Roman" w:cs="Times New Roman"/>
                <w:sz w:val="24"/>
                <w:szCs w:val="24"/>
                <w:shd w:val="clear" w:color="auto" w:fill="FEFEFE"/>
              </w:rPr>
              <w:t>е</w:t>
            </w:r>
            <w:r w:rsidRPr="00083A22">
              <w:rPr>
                <w:rFonts w:ascii="Times New Roman" w:hAnsi="Times New Roman" w:cs="Times New Roman"/>
                <w:sz w:val="24"/>
                <w:szCs w:val="24"/>
                <w:shd w:val="clear" w:color="auto" w:fill="FEFEFE"/>
              </w:rPr>
              <w:t>, за които е наличен бюджет по процедурата.</w:t>
            </w:r>
            <w:r>
              <w:rPr>
                <w:rFonts w:ascii="Times New Roman" w:hAnsi="Times New Roman" w:cs="Times New Roman"/>
                <w:sz w:val="24"/>
                <w:szCs w:val="24"/>
                <w:shd w:val="clear" w:color="auto" w:fill="FEFEFE"/>
              </w:rPr>
              <w:t xml:space="preserve"> </w:t>
            </w:r>
            <w:r w:rsidR="003A6D5E">
              <w:rPr>
                <w:rFonts w:ascii="Times New Roman" w:hAnsi="Times New Roman" w:cs="Times New Roman"/>
                <w:sz w:val="24"/>
                <w:szCs w:val="24"/>
                <w:shd w:val="clear" w:color="auto" w:fill="FEFEFE"/>
              </w:rPr>
              <w:t xml:space="preserve">За проектните предложения, получили еднакъв брой точки по процедурата, се извършва допълнително класиране в низходящ ред като за одобрение се предлага проектното предложение, получило по-голям брой точки </w:t>
            </w:r>
            <w:r w:rsidR="00B47D51">
              <w:rPr>
                <w:rFonts w:ascii="Times New Roman" w:hAnsi="Times New Roman" w:cs="Times New Roman"/>
                <w:sz w:val="24"/>
                <w:szCs w:val="24"/>
                <w:shd w:val="clear" w:color="auto" w:fill="FEFEFE"/>
              </w:rPr>
              <w:t xml:space="preserve">по </w:t>
            </w:r>
            <w:r w:rsidR="00B47D51" w:rsidRPr="00B47D51">
              <w:rPr>
                <w:rFonts w:ascii="Times New Roman" w:hAnsi="Times New Roman" w:cs="Times New Roman"/>
                <w:sz w:val="24"/>
                <w:szCs w:val="24"/>
                <w:shd w:val="clear" w:color="auto" w:fill="FEFEFE"/>
              </w:rPr>
              <w:t>Раздел III „Качество на стратегията за ВОМР“</w:t>
            </w:r>
            <w:r w:rsidR="00B47D51">
              <w:rPr>
                <w:rFonts w:ascii="Times New Roman" w:hAnsi="Times New Roman" w:cs="Times New Roman"/>
                <w:sz w:val="24"/>
                <w:szCs w:val="24"/>
                <w:shd w:val="clear" w:color="auto" w:fill="FEFEFE"/>
              </w:rPr>
              <w:t xml:space="preserve"> от критериите за оценка съгласно приложение №</w:t>
            </w:r>
            <w:r w:rsidR="00647EDB">
              <w:rPr>
                <w:rFonts w:ascii="Times New Roman" w:hAnsi="Times New Roman" w:cs="Times New Roman"/>
                <w:sz w:val="24"/>
                <w:szCs w:val="24"/>
                <w:shd w:val="clear" w:color="auto" w:fill="FEFEFE"/>
              </w:rPr>
              <w:t xml:space="preserve"> 5</w:t>
            </w:r>
            <w:r w:rsidR="00B47D51">
              <w:rPr>
                <w:rFonts w:ascii="Times New Roman" w:hAnsi="Times New Roman" w:cs="Times New Roman"/>
                <w:sz w:val="24"/>
                <w:szCs w:val="24"/>
                <w:shd w:val="clear" w:color="auto" w:fill="FEFEFE"/>
              </w:rPr>
              <w:t xml:space="preserve">. </w:t>
            </w:r>
            <w:r w:rsidR="003A6D5E">
              <w:rPr>
                <w:rFonts w:ascii="Times New Roman" w:hAnsi="Times New Roman" w:cs="Times New Roman"/>
                <w:sz w:val="24"/>
                <w:szCs w:val="24"/>
                <w:shd w:val="clear" w:color="auto" w:fill="FEFEFE"/>
              </w:rPr>
              <w:t xml:space="preserve"> </w:t>
            </w:r>
          </w:p>
          <w:p w14:paraId="55988E1A" w14:textId="1E7B10B9" w:rsidR="00A07E6A" w:rsidRPr="00B61451" w:rsidRDefault="008A5815" w:rsidP="00B61451">
            <w:pPr>
              <w:spacing w:line="276" w:lineRule="auto"/>
              <w:ind w:firstLine="567"/>
              <w:jc w:val="both"/>
              <w:rPr>
                <w:rFonts w:ascii="Times New Roman" w:hAnsi="Times New Roman" w:cs="Times New Roman"/>
                <w:sz w:val="24"/>
                <w:szCs w:val="24"/>
                <w:highlight w:val="yellow"/>
                <w:shd w:val="clear" w:color="auto" w:fill="FEFEFE"/>
                <w:lang w:val="en-GB"/>
              </w:rPr>
            </w:pPr>
            <w:r>
              <w:rPr>
                <w:rFonts w:ascii="Times New Roman" w:hAnsi="Times New Roman" w:cs="Times New Roman"/>
                <w:sz w:val="24"/>
                <w:szCs w:val="24"/>
                <w:shd w:val="clear" w:color="auto" w:fill="FEFEFE"/>
              </w:rPr>
              <w:t xml:space="preserve">Подборът на стратегии за ВОМР приключва с изготвянето от комитета за подбор на оценителен доклад до Ръководителя на СПРЗСР. Ръководителят издава решение за одобрение или неодобрение на проектните предложения, за което се уведомяват кандидатите. </w:t>
            </w:r>
          </w:p>
        </w:tc>
      </w:tr>
    </w:tbl>
    <w:p w14:paraId="27395009" w14:textId="77777777" w:rsidR="003935EC" w:rsidRPr="00FB202F" w:rsidRDefault="003935EC" w:rsidP="00044F85">
      <w:pPr>
        <w:tabs>
          <w:tab w:val="left" w:pos="0"/>
          <w:tab w:val="left" w:pos="851"/>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70D41E27" w14:textId="77777777" w:rsidTr="000D7565">
        <w:tc>
          <w:tcPr>
            <w:tcW w:w="9781" w:type="dxa"/>
          </w:tcPr>
          <w:p w14:paraId="5CC041D5" w14:textId="67F87997" w:rsidR="003935EC" w:rsidRDefault="003935EC" w:rsidP="007541D6">
            <w:pPr>
              <w:tabs>
                <w:tab w:val="left" w:pos="0"/>
                <w:tab w:val="left" w:pos="851"/>
              </w:tabs>
              <w:spacing w:line="276" w:lineRule="auto"/>
              <w:ind w:firstLine="567"/>
              <w:jc w:val="both"/>
              <w:rPr>
                <w:rFonts w:ascii="Times New Roman" w:hAnsi="Times New Roman" w:cs="Times New Roman"/>
                <w:b/>
                <w:sz w:val="24"/>
                <w:szCs w:val="24"/>
              </w:rPr>
            </w:pPr>
            <w:r w:rsidRPr="00CE1816">
              <w:rPr>
                <w:rFonts w:ascii="Times New Roman" w:hAnsi="Times New Roman" w:cs="Times New Roman"/>
                <w:b/>
                <w:sz w:val="24"/>
                <w:szCs w:val="24"/>
              </w:rPr>
              <w:t xml:space="preserve">22. Критерии </w:t>
            </w:r>
            <w:r w:rsidR="00385231">
              <w:rPr>
                <w:rFonts w:ascii="Times New Roman" w:hAnsi="Times New Roman" w:cs="Times New Roman"/>
                <w:b/>
                <w:sz w:val="24"/>
                <w:szCs w:val="24"/>
              </w:rPr>
              <w:t xml:space="preserve">за подбор </w:t>
            </w:r>
            <w:r w:rsidRPr="00CE1816">
              <w:rPr>
                <w:rFonts w:ascii="Times New Roman" w:hAnsi="Times New Roman" w:cs="Times New Roman"/>
                <w:b/>
                <w:sz w:val="24"/>
                <w:szCs w:val="24"/>
              </w:rPr>
              <w:t xml:space="preserve">и методика за оценка на </w:t>
            </w:r>
            <w:r w:rsidR="00E34228" w:rsidRPr="00CE1816">
              <w:rPr>
                <w:rFonts w:ascii="Times New Roman" w:hAnsi="Times New Roman" w:cs="Times New Roman"/>
                <w:b/>
                <w:sz w:val="24"/>
                <w:szCs w:val="24"/>
              </w:rPr>
              <w:t>стратегиите</w:t>
            </w:r>
            <w:r w:rsidR="00385231">
              <w:rPr>
                <w:rFonts w:ascii="Times New Roman" w:hAnsi="Times New Roman" w:cs="Times New Roman"/>
                <w:b/>
                <w:sz w:val="24"/>
                <w:szCs w:val="24"/>
              </w:rPr>
              <w:t xml:space="preserve"> за ВОМР</w:t>
            </w:r>
            <w:r w:rsidRPr="00CE1816">
              <w:rPr>
                <w:rFonts w:ascii="Times New Roman" w:hAnsi="Times New Roman" w:cs="Times New Roman"/>
                <w:b/>
                <w:sz w:val="24"/>
                <w:szCs w:val="24"/>
              </w:rPr>
              <w:t>:</w:t>
            </w:r>
          </w:p>
          <w:p w14:paraId="5900A639" w14:textId="78A1FF5F" w:rsidR="00E34228" w:rsidRPr="007541D6" w:rsidRDefault="00B42671" w:rsidP="007541D6">
            <w:pPr>
              <w:widowControl w:val="0"/>
              <w:autoSpaceDE w:val="0"/>
              <w:autoSpaceDN w:val="0"/>
              <w:adjustRightInd w:val="0"/>
              <w:spacing w:after="200" w:line="276" w:lineRule="auto"/>
              <w:ind w:firstLine="567"/>
              <w:jc w:val="both"/>
              <w:rPr>
                <w:rFonts w:ascii="Times New Roman" w:eastAsia="Times New Roman" w:hAnsi="Times New Roman" w:cs="Times New Roman"/>
                <w:sz w:val="24"/>
                <w:szCs w:val="24"/>
                <w:shd w:val="clear" w:color="auto" w:fill="FEFEFE"/>
                <w:lang w:val="en-US" w:eastAsia="bg-BG"/>
              </w:rPr>
            </w:pPr>
            <w:r w:rsidRPr="00E765C4">
              <w:rPr>
                <w:rFonts w:ascii="Times New Roman" w:eastAsia="Times New Roman" w:hAnsi="Times New Roman" w:cs="Times New Roman"/>
                <w:sz w:val="24"/>
                <w:szCs w:val="24"/>
                <w:shd w:val="clear" w:color="auto" w:fill="FEFEFE"/>
                <w:lang w:eastAsia="bg-BG"/>
              </w:rPr>
              <w:t>К</w:t>
            </w:r>
            <w:r w:rsidRPr="00DC2C7B">
              <w:rPr>
                <w:rFonts w:ascii="Times New Roman" w:eastAsia="Times New Roman" w:hAnsi="Times New Roman" w:cs="Times New Roman"/>
                <w:sz w:val="24"/>
                <w:szCs w:val="24"/>
                <w:shd w:val="clear" w:color="auto" w:fill="FEFEFE"/>
                <w:lang w:eastAsia="bg-BG"/>
              </w:rPr>
              <w:t xml:space="preserve">ритериите за </w:t>
            </w:r>
            <w:r w:rsidR="00240CE1">
              <w:rPr>
                <w:rFonts w:ascii="Times New Roman" w:eastAsia="Times New Roman" w:hAnsi="Times New Roman" w:cs="Times New Roman"/>
                <w:sz w:val="24"/>
                <w:szCs w:val="24"/>
                <w:shd w:val="clear" w:color="auto" w:fill="FEFEFE"/>
                <w:lang w:eastAsia="bg-BG"/>
              </w:rPr>
              <w:t>подбор</w:t>
            </w:r>
            <w:r w:rsidRPr="00DC2C7B">
              <w:rPr>
                <w:rFonts w:ascii="Times New Roman" w:eastAsia="Times New Roman" w:hAnsi="Times New Roman" w:cs="Times New Roman"/>
                <w:sz w:val="24"/>
                <w:szCs w:val="24"/>
                <w:shd w:val="clear" w:color="auto" w:fill="FEFEFE"/>
                <w:lang w:eastAsia="bg-BG"/>
              </w:rPr>
              <w:t xml:space="preserve"> на стратегиите за ВОМР са групирани в три раздела – Раздел I „Качество на партньорството“, Раздел II „Капацитет на МИГ за изпълнение на стратегията“ и Раздел III „</w:t>
            </w:r>
            <w:r w:rsidRPr="00CE1816">
              <w:rPr>
                <w:rFonts w:ascii="Times New Roman" w:eastAsia="Times New Roman" w:hAnsi="Times New Roman" w:cs="Times New Roman"/>
                <w:sz w:val="24"/>
                <w:szCs w:val="24"/>
                <w:shd w:val="clear" w:color="auto" w:fill="FEFEFE"/>
                <w:lang w:eastAsia="bg-BG"/>
              </w:rPr>
              <w:t xml:space="preserve">Качество на стратегията за ВОМР“. </w:t>
            </w:r>
            <w:r w:rsidR="00240CE1">
              <w:rPr>
                <w:rFonts w:ascii="Times New Roman" w:eastAsia="Times New Roman" w:hAnsi="Times New Roman" w:cs="Times New Roman"/>
                <w:sz w:val="24"/>
                <w:szCs w:val="24"/>
                <w:shd w:val="clear" w:color="auto" w:fill="FEFEFE"/>
                <w:lang w:eastAsia="bg-BG"/>
              </w:rPr>
              <w:t xml:space="preserve">Всеки критерий съдържа набор от задължителни показатели, които са измерими и са проверими чрез представените от МИГ документи, включително съдържанието на стратегията за ВОМР. </w:t>
            </w:r>
            <w:r w:rsidRPr="00CE1816">
              <w:rPr>
                <w:rFonts w:ascii="Times New Roman" w:eastAsia="Times New Roman" w:hAnsi="Times New Roman" w:cs="Times New Roman"/>
                <w:sz w:val="24"/>
                <w:szCs w:val="24"/>
                <w:shd w:val="clear" w:color="auto" w:fill="FEFEFE"/>
                <w:lang w:eastAsia="bg-BG"/>
              </w:rPr>
              <w:t xml:space="preserve">Общият брой точки, които един кандидат може да получи по трите </w:t>
            </w:r>
            <w:r w:rsidRPr="00255672">
              <w:rPr>
                <w:rFonts w:ascii="Times New Roman" w:eastAsia="Times New Roman" w:hAnsi="Times New Roman" w:cs="Times New Roman"/>
                <w:sz w:val="24"/>
                <w:szCs w:val="24"/>
                <w:shd w:val="clear" w:color="auto" w:fill="FEFEFE"/>
                <w:lang w:eastAsia="bg-BG"/>
              </w:rPr>
              <w:t>раздела е 132 точки.</w:t>
            </w:r>
            <w:r w:rsidRPr="00CE1816">
              <w:rPr>
                <w:rFonts w:ascii="Times New Roman" w:eastAsia="Times New Roman" w:hAnsi="Times New Roman" w:cs="Times New Roman"/>
                <w:sz w:val="24"/>
                <w:szCs w:val="24"/>
                <w:shd w:val="clear" w:color="auto" w:fill="FEFEFE"/>
                <w:lang w:eastAsia="bg-BG"/>
              </w:rPr>
              <w:t xml:space="preserve"> </w:t>
            </w:r>
          </w:p>
          <w:p w14:paraId="28B83760" w14:textId="2338C66B" w:rsidR="00E34228" w:rsidRPr="00CE1816" w:rsidRDefault="00B42671" w:rsidP="007541D6">
            <w:pPr>
              <w:widowControl w:val="0"/>
              <w:autoSpaceDE w:val="0"/>
              <w:autoSpaceDN w:val="0"/>
              <w:adjustRightInd w:val="0"/>
              <w:spacing w:after="200" w:line="276" w:lineRule="auto"/>
              <w:ind w:firstLine="567"/>
              <w:jc w:val="both"/>
              <w:rPr>
                <w:rFonts w:ascii="Times New Roman" w:eastAsia="Times New Roman" w:hAnsi="Times New Roman" w:cs="Times New Roman"/>
                <w:sz w:val="24"/>
                <w:szCs w:val="24"/>
                <w:shd w:val="clear" w:color="auto" w:fill="FEFEFE"/>
                <w:lang w:eastAsia="bg-BG"/>
              </w:rPr>
            </w:pPr>
            <w:r w:rsidRPr="00CE1816">
              <w:rPr>
                <w:rFonts w:ascii="Times New Roman" w:eastAsia="Times New Roman" w:hAnsi="Times New Roman" w:cs="Times New Roman"/>
                <w:sz w:val="24"/>
                <w:szCs w:val="24"/>
                <w:shd w:val="clear" w:color="auto" w:fill="FEFEFE"/>
                <w:lang w:eastAsia="bg-BG"/>
              </w:rPr>
              <w:t>За да бъде предложен</w:t>
            </w:r>
            <w:r w:rsidR="00E34228" w:rsidRPr="00CE1816">
              <w:rPr>
                <w:rFonts w:ascii="Times New Roman" w:eastAsia="Times New Roman" w:hAnsi="Times New Roman" w:cs="Times New Roman"/>
                <w:sz w:val="24"/>
                <w:szCs w:val="24"/>
                <w:shd w:val="clear" w:color="auto" w:fill="FEFEFE"/>
                <w:lang w:eastAsia="bg-BG"/>
              </w:rPr>
              <w:t>а</w:t>
            </w:r>
            <w:r w:rsidRPr="00CE1816">
              <w:rPr>
                <w:rFonts w:ascii="Times New Roman" w:eastAsia="Times New Roman" w:hAnsi="Times New Roman" w:cs="Times New Roman"/>
                <w:sz w:val="24"/>
                <w:szCs w:val="24"/>
                <w:shd w:val="clear" w:color="auto" w:fill="FEFEFE"/>
                <w:lang w:eastAsia="bg-BG"/>
              </w:rPr>
              <w:t xml:space="preserve"> за финансиране, едн</w:t>
            </w:r>
            <w:r w:rsidR="00E34228" w:rsidRPr="00CE1816">
              <w:rPr>
                <w:rFonts w:ascii="Times New Roman" w:eastAsia="Times New Roman" w:hAnsi="Times New Roman" w:cs="Times New Roman"/>
                <w:sz w:val="24"/>
                <w:szCs w:val="24"/>
                <w:shd w:val="clear" w:color="auto" w:fill="FEFEFE"/>
                <w:lang w:eastAsia="bg-BG"/>
              </w:rPr>
              <w:t>а</w:t>
            </w:r>
            <w:r w:rsidRPr="00CE1816">
              <w:rPr>
                <w:rFonts w:ascii="Times New Roman" w:eastAsia="Times New Roman" w:hAnsi="Times New Roman" w:cs="Times New Roman"/>
                <w:sz w:val="24"/>
                <w:szCs w:val="24"/>
                <w:shd w:val="clear" w:color="auto" w:fill="FEFEFE"/>
                <w:lang w:eastAsia="bg-BG"/>
              </w:rPr>
              <w:t xml:space="preserve"> </w:t>
            </w:r>
            <w:r w:rsidR="00E34228" w:rsidRPr="00CE1816">
              <w:rPr>
                <w:rFonts w:ascii="Times New Roman" w:eastAsia="Times New Roman" w:hAnsi="Times New Roman" w:cs="Times New Roman"/>
                <w:sz w:val="24"/>
                <w:szCs w:val="24"/>
                <w:shd w:val="clear" w:color="auto" w:fill="FEFEFE"/>
                <w:lang w:eastAsia="bg-BG"/>
              </w:rPr>
              <w:t>стратегия за ВОМР</w:t>
            </w:r>
            <w:r w:rsidRPr="00CE1816">
              <w:rPr>
                <w:rFonts w:ascii="Times New Roman" w:eastAsia="Times New Roman" w:hAnsi="Times New Roman" w:cs="Times New Roman"/>
                <w:sz w:val="24"/>
                <w:szCs w:val="24"/>
                <w:shd w:val="clear" w:color="auto" w:fill="FEFEFE"/>
                <w:lang w:eastAsia="bg-BG"/>
              </w:rPr>
              <w:t xml:space="preserve"> трябва </w:t>
            </w:r>
            <w:r w:rsidR="00E34228" w:rsidRPr="00CE1816">
              <w:rPr>
                <w:rFonts w:ascii="Times New Roman" w:eastAsia="Times New Roman" w:hAnsi="Times New Roman" w:cs="Times New Roman"/>
                <w:sz w:val="24"/>
                <w:szCs w:val="24"/>
                <w:shd w:val="clear" w:color="auto" w:fill="FEFEFE"/>
                <w:lang w:eastAsia="bg-BG"/>
              </w:rPr>
              <w:t>да</w:t>
            </w:r>
            <w:r w:rsidR="00CE1816" w:rsidRPr="00CE1816">
              <w:rPr>
                <w:rFonts w:ascii="Times New Roman" w:eastAsia="Times New Roman" w:hAnsi="Times New Roman" w:cs="Times New Roman"/>
                <w:sz w:val="24"/>
                <w:szCs w:val="24"/>
                <w:shd w:val="clear" w:color="auto" w:fill="FEFEFE"/>
                <w:lang w:eastAsia="bg-BG"/>
              </w:rPr>
              <w:t xml:space="preserve"> получи</w:t>
            </w:r>
            <w:r w:rsidR="00E34228" w:rsidRPr="00CE1816">
              <w:rPr>
                <w:rFonts w:ascii="Times New Roman" w:eastAsia="Times New Roman" w:hAnsi="Times New Roman" w:cs="Times New Roman"/>
                <w:sz w:val="24"/>
                <w:szCs w:val="24"/>
                <w:shd w:val="clear" w:color="auto" w:fill="FEFEFE"/>
                <w:lang w:eastAsia="bg-BG"/>
              </w:rPr>
              <w:t>:</w:t>
            </w:r>
          </w:p>
          <w:p w14:paraId="758E8DFF" w14:textId="7D4A84D5" w:rsidR="00CE1816" w:rsidRPr="0060581B" w:rsidRDefault="00B42671" w:rsidP="007541D6">
            <w:pPr>
              <w:pStyle w:val="ListParagraph"/>
              <w:widowControl w:val="0"/>
              <w:numPr>
                <w:ilvl w:val="0"/>
                <w:numId w:val="16"/>
              </w:numPr>
              <w:autoSpaceDE w:val="0"/>
              <w:autoSpaceDN w:val="0"/>
              <w:adjustRightInd w:val="0"/>
              <w:spacing w:line="276" w:lineRule="auto"/>
              <w:ind w:left="0" w:firstLine="567"/>
              <w:jc w:val="both"/>
              <w:rPr>
                <w:rFonts w:ascii="Times New Roman" w:hAnsi="Times New Roman" w:cs="Times New Roman"/>
                <w:sz w:val="24"/>
                <w:szCs w:val="24"/>
                <w:shd w:val="clear" w:color="auto" w:fill="FEFEFE"/>
              </w:rPr>
            </w:pPr>
            <w:r w:rsidRPr="0060581B">
              <w:rPr>
                <w:rFonts w:ascii="Times New Roman" w:eastAsia="Times New Roman" w:hAnsi="Times New Roman" w:cs="Times New Roman"/>
                <w:sz w:val="24"/>
                <w:szCs w:val="24"/>
                <w:shd w:val="clear" w:color="auto" w:fill="FEFEFE"/>
                <w:lang w:eastAsia="bg-BG"/>
              </w:rPr>
              <w:t xml:space="preserve">не по-малко от 50 точки </w:t>
            </w:r>
            <w:r w:rsidR="00CE1816" w:rsidRPr="00CE1816">
              <w:rPr>
                <w:rFonts w:ascii="Times New Roman" w:eastAsia="Times New Roman" w:hAnsi="Times New Roman" w:cs="Times New Roman"/>
                <w:sz w:val="24"/>
                <w:szCs w:val="24"/>
                <w:shd w:val="clear" w:color="auto" w:fill="FEFEFE"/>
                <w:lang w:eastAsia="bg-BG"/>
              </w:rPr>
              <w:t xml:space="preserve">обща оценка </w:t>
            </w:r>
            <w:r w:rsidRPr="0060581B">
              <w:rPr>
                <w:rFonts w:ascii="Times New Roman" w:eastAsia="Times New Roman" w:hAnsi="Times New Roman" w:cs="Times New Roman"/>
                <w:sz w:val="24"/>
                <w:szCs w:val="24"/>
                <w:shd w:val="clear" w:color="auto" w:fill="FEFEFE"/>
                <w:lang w:eastAsia="bg-BG"/>
              </w:rPr>
              <w:t>по критерии</w:t>
            </w:r>
            <w:r w:rsidR="00CE1816" w:rsidRPr="00CE1816">
              <w:rPr>
                <w:rFonts w:ascii="Times New Roman" w:eastAsia="Times New Roman" w:hAnsi="Times New Roman" w:cs="Times New Roman"/>
                <w:sz w:val="24"/>
                <w:szCs w:val="24"/>
                <w:shd w:val="clear" w:color="auto" w:fill="FEFEFE"/>
                <w:lang w:eastAsia="bg-BG"/>
              </w:rPr>
              <w:t>те</w:t>
            </w:r>
            <w:r w:rsidRPr="0060581B">
              <w:rPr>
                <w:rFonts w:ascii="Times New Roman" w:eastAsia="Times New Roman" w:hAnsi="Times New Roman" w:cs="Times New Roman"/>
                <w:sz w:val="24"/>
                <w:szCs w:val="24"/>
                <w:shd w:val="clear" w:color="auto" w:fill="FEFEFE"/>
                <w:lang w:eastAsia="bg-BG"/>
              </w:rPr>
              <w:t xml:space="preserve"> за </w:t>
            </w:r>
            <w:r w:rsidR="00CE1816" w:rsidRPr="00CE1816">
              <w:rPr>
                <w:rFonts w:ascii="Times New Roman" w:eastAsia="Times New Roman" w:hAnsi="Times New Roman" w:cs="Times New Roman"/>
                <w:sz w:val="24"/>
                <w:szCs w:val="24"/>
                <w:shd w:val="clear" w:color="auto" w:fill="FEFEFE"/>
                <w:lang w:eastAsia="bg-BG"/>
              </w:rPr>
              <w:t xml:space="preserve">подбор и </w:t>
            </w:r>
          </w:p>
          <w:p w14:paraId="322C5860" w14:textId="77777777" w:rsidR="00B42671" w:rsidRPr="0035311E" w:rsidRDefault="00B42671" w:rsidP="007541D6">
            <w:pPr>
              <w:pStyle w:val="ListParagraph"/>
              <w:widowControl w:val="0"/>
              <w:numPr>
                <w:ilvl w:val="0"/>
                <w:numId w:val="16"/>
              </w:numPr>
              <w:autoSpaceDE w:val="0"/>
              <w:autoSpaceDN w:val="0"/>
              <w:adjustRightInd w:val="0"/>
              <w:spacing w:line="276" w:lineRule="auto"/>
              <w:ind w:left="0" w:firstLine="567"/>
              <w:jc w:val="both"/>
              <w:rPr>
                <w:rFonts w:ascii="Times New Roman" w:hAnsi="Times New Roman" w:cs="Times New Roman"/>
                <w:sz w:val="24"/>
                <w:szCs w:val="24"/>
                <w:shd w:val="clear" w:color="auto" w:fill="FEFEFE"/>
              </w:rPr>
            </w:pPr>
            <w:r w:rsidRPr="0060581B">
              <w:rPr>
                <w:rFonts w:ascii="Times New Roman" w:eastAsia="Times New Roman" w:hAnsi="Times New Roman" w:cs="Times New Roman"/>
                <w:sz w:val="24"/>
                <w:szCs w:val="24"/>
                <w:shd w:val="clear" w:color="auto" w:fill="FEFEFE"/>
                <w:lang w:eastAsia="bg-BG"/>
              </w:rPr>
              <w:lastRenderedPageBreak/>
              <w:t>не по-малко от 30 точки по Раздел III „Качество на стратегията за ВОМР“.</w:t>
            </w:r>
          </w:p>
          <w:p w14:paraId="11CAE9E5" w14:textId="77777777" w:rsidR="0035311E" w:rsidRDefault="0035311E" w:rsidP="007541D6">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p>
          <w:p w14:paraId="5AD9F6F1" w14:textId="21674784" w:rsidR="0035311E" w:rsidRDefault="0035311E" w:rsidP="007541D6">
            <w:pPr>
              <w:widowControl w:val="0"/>
              <w:autoSpaceDE w:val="0"/>
              <w:autoSpaceDN w:val="0"/>
              <w:adjustRightInd w:val="0"/>
              <w:spacing w:line="276" w:lineRule="auto"/>
              <w:ind w:firstLine="483"/>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За извършване на техническа и финансова оценка на постъпилите проектни предложения се използва следната методика: </w:t>
            </w:r>
          </w:p>
          <w:p w14:paraId="122F5B0A" w14:textId="77777777" w:rsidR="00B61BC6" w:rsidRDefault="00B61BC6" w:rsidP="007541D6">
            <w:pPr>
              <w:widowControl w:val="0"/>
              <w:autoSpaceDE w:val="0"/>
              <w:autoSpaceDN w:val="0"/>
              <w:adjustRightInd w:val="0"/>
              <w:spacing w:line="276" w:lineRule="auto"/>
              <w:ind w:firstLine="483"/>
              <w:jc w:val="both"/>
              <w:rPr>
                <w:rFonts w:ascii="Times New Roman" w:hAnsi="Times New Roman" w:cs="Times New Roman"/>
                <w:sz w:val="24"/>
                <w:szCs w:val="24"/>
                <w:shd w:val="clear" w:color="auto" w:fill="FEFEFE"/>
              </w:rPr>
            </w:pPr>
          </w:p>
          <w:p w14:paraId="1135C1CD" w14:textId="06AA138B" w:rsidR="0035311E" w:rsidRPr="007541D6" w:rsidRDefault="0035311E" w:rsidP="007541D6">
            <w:pPr>
              <w:widowControl w:val="0"/>
              <w:autoSpaceDE w:val="0"/>
              <w:autoSpaceDN w:val="0"/>
              <w:adjustRightInd w:val="0"/>
              <w:spacing w:line="276" w:lineRule="auto"/>
              <w:ind w:firstLine="483"/>
              <w:jc w:val="both"/>
              <w:rPr>
                <w:rFonts w:ascii="Times New Roman" w:hAnsi="Times New Roman" w:cs="Times New Roman"/>
                <w:b/>
                <w:sz w:val="24"/>
                <w:szCs w:val="24"/>
                <w:shd w:val="clear" w:color="auto" w:fill="FEFEFE"/>
              </w:rPr>
            </w:pPr>
            <w:r w:rsidRPr="007541D6">
              <w:rPr>
                <w:rFonts w:ascii="Times New Roman" w:hAnsi="Times New Roman" w:cs="Times New Roman"/>
                <w:b/>
                <w:sz w:val="24"/>
                <w:szCs w:val="24"/>
                <w:shd w:val="clear" w:color="auto" w:fill="FEFEFE"/>
              </w:rPr>
              <w:t xml:space="preserve">1. </w:t>
            </w:r>
            <w:r w:rsidR="00B61BC6">
              <w:rPr>
                <w:rFonts w:ascii="Times New Roman" w:hAnsi="Times New Roman" w:cs="Times New Roman"/>
                <w:b/>
                <w:sz w:val="24"/>
                <w:szCs w:val="24"/>
                <w:shd w:val="clear" w:color="auto" w:fill="FEFEFE"/>
              </w:rPr>
              <w:t>Оценка по кри</w:t>
            </w:r>
            <w:r w:rsidRPr="007541D6">
              <w:rPr>
                <w:rFonts w:ascii="Times New Roman" w:hAnsi="Times New Roman" w:cs="Times New Roman"/>
                <w:b/>
                <w:sz w:val="24"/>
                <w:szCs w:val="24"/>
                <w:shd w:val="clear" w:color="auto" w:fill="FEFEFE"/>
              </w:rPr>
              <w:t>терии</w:t>
            </w:r>
            <w:r w:rsidR="00B61BC6">
              <w:rPr>
                <w:rFonts w:ascii="Times New Roman" w:hAnsi="Times New Roman" w:cs="Times New Roman"/>
                <w:b/>
                <w:sz w:val="24"/>
                <w:szCs w:val="24"/>
                <w:shd w:val="clear" w:color="auto" w:fill="FEFEFE"/>
              </w:rPr>
              <w:t>те, включени в</w:t>
            </w:r>
            <w:r w:rsidRPr="007541D6">
              <w:rPr>
                <w:rFonts w:ascii="Times New Roman" w:hAnsi="Times New Roman" w:cs="Times New Roman"/>
                <w:b/>
                <w:sz w:val="24"/>
                <w:szCs w:val="24"/>
                <w:shd w:val="clear" w:color="auto" w:fill="FEFEFE"/>
              </w:rPr>
              <w:t xml:space="preserve"> раздел I „Качество на партньорството“</w:t>
            </w:r>
          </w:p>
          <w:p w14:paraId="670D2F2F" w14:textId="25EC8684" w:rsidR="00056A00" w:rsidRPr="00385231" w:rsidRDefault="00B61BC6" w:rsidP="007541D6">
            <w:pPr>
              <w:widowControl w:val="0"/>
              <w:autoSpaceDE w:val="0"/>
              <w:autoSpaceDN w:val="0"/>
              <w:adjustRightInd w:val="0"/>
              <w:spacing w:line="276" w:lineRule="auto"/>
              <w:ind w:firstLine="483"/>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Критериите, включени в раздел </w:t>
            </w:r>
            <w:r>
              <w:rPr>
                <w:rFonts w:ascii="Times New Roman" w:hAnsi="Times New Roman" w:cs="Times New Roman"/>
                <w:sz w:val="24"/>
                <w:szCs w:val="24"/>
                <w:shd w:val="clear" w:color="auto" w:fill="FEFEFE"/>
                <w:lang w:val="en-US"/>
              </w:rPr>
              <w:t>I</w:t>
            </w:r>
            <w:r>
              <w:rPr>
                <w:rFonts w:ascii="Times New Roman" w:hAnsi="Times New Roman" w:cs="Times New Roman"/>
                <w:sz w:val="24"/>
                <w:szCs w:val="24"/>
                <w:shd w:val="clear" w:color="auto" w:fill="FEFEFE"/>
              </w:rPr>
              <w:t xml:space="preserve"> </w:t>
            </w:r>
            <w:r w:rsidR="004701A8">
              <w:rPr>
                <w:rFonts w:ascii="Times New Roman" w:hAnsi="Times New Roman" w:cs="Times New Roman"/>
                <w:sz w:val="24"/>
                <w:szCs w:val="24"/>
                <w:shd w:val="clear" w:color="auto" w:fill="FEFEFE"/>
              </w:rPr>
              <w:t>„Качество на партньорството“</w:t>
            </w:r>
            <w:r w:rsidR="00056A00">
              <w:rPr>
                <w:rFonts w:ascii="Times New Roman" w:hAnsi="Times New Roman" w:cs="Times New Roman"/>
                <w:sz w:val="24"/>
                <w:szCs w:val="24"/>
                <w:shd w:val="clear" w:color="auto" w:fill="FEFEFE"/>
              </w:rPr>
              <w:t>,</w:t>
            </w:r>
            <w:r w:rsidR="004701A8">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са количествено измерими и тяхната тежест е посочена в приложение № </w:t>
            </w:r>
            <w:r w:rsidR="00647EDB">
              <w:rPr>
                <w:rFonts w:ascii="Times New Roman" w:hAnsi="Times New Roman" w:cs="Times New Roman"/>
                <w:sz w:val="24"/>
                <w:szCs w:val="24"/>
                <w:shd w:val="clear" w:color="auto" w:fill="FEFEFE"/>
              </w:rPr>
              <w:t>5</w:t>
            </w:r>
            <w:r>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lang w:val="en-US"/>
              </w:rPr>
              <w:t xml:space="preserve"> </w:t>
            </w:r>
            <w:r w:rsidR="0035311E">
              <w:rPr>
                <w:rFonts w:ascii="Times New Roman" w:hAnsi="Times New Roman" w:cs="Times New Roman"/>
                <w:sz w:val="24"/>
                <w:szCs w:val="24"/>
                <w:shd w:val="clear" w:color="auto" w:fill="FEFEFE"/>
              </w:rPr>
              <w:t>По отделните крите</w:t>
            </w:r>
            <w:r w:rsidR="00EA40F4">
              <w:rPr>
                <w:rFonts w:ascii="Times New Roman" w:hAnsi="Times New Roman" w:cs="Times New Roman"/>
                <w:sz w:val="24"/>
                <w:szCs w:val="24"/>
                <w:shd w:val="clear" w:color="auto" w:fill="FEFEFE"/>
              </w:rPr>
              <w:t>р</w:t>
            </w:r>
            <w:r w:rsidR="0035311E">
              <w:rPr>
                <w:rFonts w:ascii="Times New Roman" w:hAnsi="Times New Roman" w:cs="Times New Roman"/>
                <w:sz w:val="24"/>
                <w:szCs w:val="24"/>
                <w:shd w:val="clear" w:color="auto" w:fill="FEFEFE"/>
              </w:rPr>
              <w:t xml:space="preserve">ии за оценка се присъждат точки в зависимост от броя </w:t>
            </w:r>
            <w:r w:rsidR="00E46430">
              <w:rPr>
                <w:rFonts w:ascii="Times New Roman" w:hAnsi="Times New Roman" w:cs="Times New Roman"/>
                <w:sz w:val="24"/>
                <w:szCs w:val="24"/>
                <w:shd w:val="clear" w:color="auto" w:fill="FEFEFE"/>
              </w:rPr>
              <w:t xml:space="preserve">на </w:t>
            </w:r>
            <w:r w:rsidR="0035311E">
              <w:rPr>
                <w:rFonts w:ascii="Times New Roman" w:hAnsi="Times New Roman" w:cs="Times New Roman"/>
                <w:sz w:val="24"/>
                <w:szCs w:val="24"/>
                <w:shd w:val="clear" w:color="auto" w:fill="FEFEFE"/>
              </w:rPr>
              <w:t>обхванати</w:t>
            </w:r>
            <w:r w:rsidR="00E46430">
              <w:rPr>
                <w:rFonts w:ascii="Times New Roman" w:hAnsi="Times New Roman" w:cs="Times New Roman"/>
                <w:sz w:val="24"/>
                <w:szCs w:val="24"/>
                <w:shd w:val="clear" w:color="auto" w:fill="FEFEFE"/>
              </w:rPr>
              <w:t>те</w:t>
            </w:r>
            <w:r w:rsidR="0035311E">
              <w:rPr>
                <w:rFonts w:ascii="Times New Roman" w:hAnsi="Times New Roman" w:cs="Times New Roman"/>
                <w:sz w:val="24"/>
                <w:szCs w:val="24"/>
                <w:shd w:val="clear" w:color="auto" w:fill="FEFEFE"/>
              </w:rPr>
              <w:t xml:space="preserve"> в парт</w:t>
            </w:r>
            <w:r w:rsidR="00E2191C">
              <w:rPr>
                <w:rFonts w:ascii="Times New Roman" w:hAnsi="Times New Roman" w:cs="Times New Roman"/>
                <w:sz w:val="24"/>
                <w:szCs w:val="24"/>
                <w:shd w:val="clear" w:color="auto" w:fill="FEFEFE"/>
              </w:rPr>
              <w:t>н</w:t>
            </w:r>
            <w:r w:rsidR="0035311E">
              <w:rPr>
                <w:rFonts w:ascii="Times New Roman" w:hAnsi="Times New Roman" w:cs="Times New Roman"/>
                <w:sz w:val="24"/>
                <w:szCs w:val="24"/>
                <w:shd w:val="clear" w:color="auto" w:fill="FEFEFE"/>
              </w:rPr>
              <w:t xml:space="preserve">ьорството общини, броя на населението на територията на МИГ, </w:t>
            </w:r>
            <w:r w:rsidR="00E46430">
              <w:rPr>
                <w:rFonts w:ascii="Times New Roman" w:hAnsi="Times New Roman" w:cs="Times New Roman"/>
                <w:sz w:val="24"/>
                <w:szCs w:val="24"/>
                <w:shd w:val="clear" w:color="auto" w:fill="FEFEFE"/>
              </w:rPr>
              <w:t xml:space="preserve">броя на представителите на </w:t>
            </w:r>
            <w:r w:rsidR="0035311E">
              <w:rPr>
                <w:rFonts w:ascii="Times New Roman" w:hAnsi="Times New Roman" w:cs="Times New Roman"/>
                <w:sz w:val="24"/>
                <w:szCs w:val="24"/>
                <w:shd w:val="clear" w:color="auto" w:fill="FEFEFE"/>
              </w:rPr>
              <w:t xml:space="preserve"> </w:t>
            </w:r>
            <w:r w:rsidR="00E46430">
              <w:rPr>
                <w:rFonts w:ascii="Times New Roman" w:hAnsi="Times New Roman" w:cs="Times New Roman"/>
                <w:sz w:val="24"/>
                <w:szCs w:val="24"/>
                <w:shd w:val="clear" w:color="auto" w:fill="FEFEFE"/>
              </w:rPr>
              <w:t xml:space="preserve">заинтересованите лица от територията </w:t>
            </w:r>
            <w:r w:rsidR="0035311E">
              <w:rPr>
                <w:rFonts w:ascii="Times New Roman" w:hAnsi="Times New Roman" w:cs="Times New Roman"/>
                <w:sz w:val="24"/>
                <w:szCs w:val="24"/>
                <w:shd w:val="clear" w:color="auto" w:fill="FEFEFE"/>
              </w:rPr>
              <w:t>в колективния върховен орган на МИГ</w:t>
            </w:r>
            <w:r w:rsidR="00E46430">
              <w:rPr>
                <w:rFonts w:ascii="Times New Roman" w:hAnsi="Times New Roman" w:cs="Times New Roman"/>
                <w:sz w:val="24"/>
                <w:szCs w:val="24"/>
                <w:shd w:val="clear" w:color="auto" w:fill="FEFEFE"/>
              </w:rPr>
              <w:t xml:space="preserve">, както и опита на групата в реализирането на стратегия за ВОМР в предходен програмен период. Оценката се </w:t>
            </w:r>
            <w:r>
              <w:rPr>
                <w:rFonts w:ascii="Times New Roman" w:hAnsi="Times New Roman" w:cs="Times New Roman"/>
                <w:sz w:val="24"/>
                <w:szCs w:val="24"/>
                <w:shd w:val="clear" w:color="auto" w:fill="FEFEFE"/>
              </w:rPr>
              <w:t xml:space="preserve">базира </w:t>
            </w:r>
            <w:r w:rsidR="0080176B">
              <w:rPr>
                <w:rFonts w:ascii="Times New Roman" w:hAnsi="Times New Roman" w:cs="Times New Roman"/>
                <w:sz w:val="24"/>
                <w:szCs w:val="24"/>
                <w:shd w:val="clear" w:color="auto" w:fill="FEFEFE"/>
              </w:rPr>
              <w:t xml:space="preserve">на описанието на </w:t>
            </w:r>
            <w:r>
              <w:rPr>
                <w:rFonts w:ascii="Times New Roman" w:hAnsi="Times New Roman" w:cs="Times New Roman"/>
                <w:sz w:val="24"/>
                <w:szCs w:val="24"/>
                <w:shd w:val="clear" w:color="auto" w:fill="FEFEFE"/>
              </w:rPr>
              <w:t>всеки</w:t>
            </w:r>
            <w:r w:rsidR="0080176B">
              <w:rPr>
                <w:rFonts w:ascii="Times New Roman" w:hAnsi="Times New Roman" w:cs="Times New Roman"/>
                <w:sz w:val="24"/>
                <w:szCs w:val="24"/>
                <w:shd w:val="clear" w:color="auto" w:fill="FEFEFE"/>
              </w:rPr>
              <w:t xml:space="preserve"> критерий</w:t>
            </w:r>
            <w:r>
              <w:rPr>
                <w:rFonts w:ascii="Times New Roman" w:hAnsi="Times New Roman" w:cs="Times New Roman"/>
                <w:sz w:val="24"/>
                <w:szCs w:val="24"/>
                <w:shd w:val="clear" w:color="auto" w:fill="FEFEFE"/>
              </w:rPr>
              <w:t xml:space="preserve"> въз основа на представените </w:t>
            </w:r>
            <w:r w:rsidR="004701A8">
              <w:rPr>
                <w:rFonts w:ascii="Times New Roman" w:hAnsi="Times New Roman" w:cs="Times New Roman"/>
                <w:sz w:val="24"/>
                <w:szCs w:val="24"/>
                <w:shd w:val="clear" w:color="auto" w:fill="FEFEFE"/>
              </w:rPr>
              <w:t>от кандидата документи и/или</w:t>
            </w:r>
            <w:r>
              <w:rPr>
                <w:rFonts w:ascii="Times New Roman" w:hAnsi="Times New Roman" w:cs="Times New Roman"/>
                <w:sz w:val="24"/>
                <w:szCs w:val="24"/>
                <w:shd w:val="clear" w:color="auto" w:fill="FEFEFE"/>
              </w:rPr>
              <w:t xml:space="preserve"> списъци и регистри </w:t>
            </w:r>
            <w:r w:rsidR="004701A8">
              <w:rPr>
                <w:rFonts w:ascii="Times New Roman" w:hAnsi="Times New Roman" w:cs="Times New Roman"/>
                <w:sz w:val="24"/>
                <w:szCs w:val="24"/>
                <w:shd w:val="clear" w:color="auto" w:fill="FEFEFE"/>
              </w:rPr>
              <w:t>като</w:t>
            </w:r>
            <w:r>
              <w:rPr>
                <w:rFonts w:ascii="Times New Roman" w:hAnsi="Times New Roman" w:cs="Times New Roman"/>
                <w:sz w:val="24"/>
                <w:szCs w:val="24"/>
                <w:shd w:val="clear" w:color="auto" w:fill="FEFEFE"/>
              </w:rPr>
              <w:t xml:space="preserve"> оценителите следва да </w:t>
            </w:r>
            <w:r w:rsidR="004701A8">
              <w:rPr>
                <w:rFonts w:ascii="Times New Roman" w:hAnsi="Times New Roman" w:cs="Times New Roman"/>
                <w:sz w:val="24"/>
                <w:szCs w:val="24"/>
                <w:shd w:val="clear" w:color="auto" w:fill="FEFEFE"/>
              </w:rPr>
              <w:t>преценят съответс</w:t>
            </w:r>
            <w:r w:rsidR="00E36F16">
              <w:rPr>
                <w:rFonts w:ascii="Times New Roman" w:hAnsi="Times New Roman" w:cs="Times New Roman"/>
                <w:sz w:val="24"/>
                <w:szCs w:val="24"/>
                <w:shd w:val="clear" w:color="auto" w:fill="FEFEFE"/>
              </w:rPr>
              <w:t>т</w:t>
            </w:r>
            <w:r w:rsidR="004701A8">
              <w:rPr>
                <w:rFonts w:ascii="Times New Roman" w:hAnsi="Times New Roman" w:cs="Times New Roman"/>
                <w:sz w:val="24"/>
                <w:szCs w:val="24"/>
                <w:shd w:val="clear" w:color="auto" w:fill="FEFEFE"/>
              </w:rPr>
              <w:t>вието на МИГ с всеки отделен критерий и да посочат</w:t>
            </w:r>
            <w:r>
              <w:rPr>
                <w:rFonts w:ascii="Times New Roman" w:hAnsi="Times New Roman" w:cs="Times New Roman"/>
                <w:sz w:val="24"/>
                <w:szCs w:val="24"/>
                <w:shd w:val="clear" w:color="auto" w:fill="FEFEFE"/>
              </w:rPr>
              <w:t xml:space="preserve"> </w:t>
            </w:r>
            <w:r w:rsidR="004701A8">
              <w:rPr>
                <w:rFonts w:ascii="Times New Roman" w:hAnsi="Times New Roman" w:cs="Times New Roman"/>
                <w:sz w:val="24"/>
                <w:szCs w:val="24"/>
                <w:shd w:val="clear" w:color="auto" w:fill="FEFEFE"/>
              </w:rPr>
              <w:t xml:space="preserve">точките, които да бъдат </w:t>
            </w:r>
            <w:r w:rsidR="0080176B">
              <w:rPr>
                <w:rFonts w:ascii="Times New Roman" w:hAnsi="Times New Roman" w:cs="Times New Roman"/>
                <w:sz w:val="24"/>
                <w:szCs w:val="24"/>
                <w:shd w:val="clear" w:color="auto" w:fill="FEFEFE"/>
              </w:rPr>
              <w:t xml:space="preserve">присъдени. </w:t>
            </w:r>
            <w:r w:rsidR="00385231">
              <w:rPr>
                <w:rFonts w:ascii="Times New Roman" w:hAnsi="Times New Roman" w:cs="Times New Roman"/>
                <w:sz w:val="24"/>
                <w:szCs w:val="24"/>
                <w:shd w:val="clear" w:color="auto" w:fill="FEFEFE"/>
              </w:rPr>
              <w:t>Максималн</w:t>
            </w:r>
            <w:r w:rsidR="00255672">
              <w:rPr>
                <w:rFonts w:ascii="Times New Roman" w:hAnsi="Times New Roman" w:cs="Times New Roman"/>
                <w:sz w:val="24"/>
                <w:szCs w:val="24"/>
                <w:shd w:val="clear" w:color="auto" w:fill="FEFEFE"/>
              </w:rPr>
              <w:t>ият брой</w:t>
            </w:r>
            <w:r w:rsidR="00385231">
              <w:rPr>
                <w:rFonts w:ascii="Times New Roman" w:hAnsi="Times New Roman" w:cs="Times New Roman"/>
                <w:sz w:val="24"/>
                <w:szCs w:val="24"/>
                <w:shd w:val="clear" w:color="auto" w:fill="FEFEFE"/>
              </w:rPr>
              <w:t xml:space="preserve"> точки, който кандидатът може да получи </w:t>
            </w:r>
            <w:r w:rsidR="00255672">
              <w:rPr>
                <w:rFonts w:ascii="Times New Roman" w:hAnsi="Times New Roman" w:cs="Times New Roman"/>
                <w:sz w:val="24"/>
                <w:szCs w:val="24"/>
                <w:shd w:val="clear" w:color="auto" w:fill="FEFEFE"/>
              </w:rPr>
              <w:t xml:space="preserve">като оценка </w:t>
            </w:r>
            <w:r w:rsidR="00385231">
              <w:rPr>
                <w:rFonts w:ascii="Times New Roman" w:hAnsi="Times New Roman" w:cs="Times New Roman"/>
                <w:sz w:val="24"/>
                <w:szCs w:val="24"/>
                <w:shd w:val="clear" w:color="auto" w:fill="FEFEFE"/>
              </w:rPr>
              <w:t>по критерии</w:t>
            </w:r>
            <w:r w:rsidR="00255672">
              <w:rPr>
                <w:rFonts w:ascii="Times New Roman" w:hAnsi="Times New Roman" w:cs="Times New Roman"/>
                <w:sz w:val="24"/>
                <w:szCs w:val="24"/>
                <w:shd w:val="clear" w:color="auto" w:fill="FEFEFE"/>
              </w:rPr>
              <w:t>те, включени</w:t>
            </w:r>
            <w:r w:rsidR="00385231">
              <w:rPr>
                <w:rFonts w:ascii="Times New Roman" w:hAnsi="Times New Roman" w:cs="Times New Roman"/>
                <w:sz w:val="24"/>
                <w:szCs w:val="24"/>
                <w:shd w:val="clear" w:color="auto" w:fill="FEFEFE"/>
              </w:rPr>
              <w:t xml:space="preserve"> в раздел </w:t>
            </w:r>
            <w:r w:rsidR="00385231">
              <w:rPr>
                <w:rFonts w:ascii="Times New Roman" w:hAnsi="Times New Roman" w:cs="Times New Roman"/>
                <w:sz w:val="24"/>
                <w:szCs w:val="24"/>
                <w:shd w:val="clear" w:color="auto" w:fill="FEFEFE"/>
                <w:lang w:val="en-US"/>
              </w:rPr>
              <w:t xml:space="preserve">I </w:t>
            </w:r>
            <w:r w:rsidR="00385231" w:rsidRPr="00385231">
              <w:rPr>
                <w:rFonts w:ascii="Times New Roman" w:hAnsi="Times New Roman" w:cs="Times New Roman"/>
                <w:sz w:val="24"/>
                <w:szCs w:val="24"/>
                <w:shd w:val="clear" w:color="auto" w:fill="FEFEFE"/>
              </w:rPr>
              <w:t>„Качество на партньорството“</w:t>
            </w:r>
            <w:r w:rsidR="0035311E">
              <w:rPr>
                <w:rFonts w:ascii="Times New Roman" w:hAnsi="Times New Roman" w:cs="Times New Roman"/>
                <w:sz w:val="24"/>
                <w:szCs w:val="24"/>
                <w:shd w:val="clear" w:color="auto" w:fill="FEFEFE"/>
              </w:rPr>
              <w:t xml:space="preserve"> </w:t>
            </w:r>
            <w:r w:rsidR="00385231">
              <w:rPr>
                <w:rFonts w:ascii="Times New Roman" w:hAnsi="Times New Roman" w:cs="Times New Roman"/>
                <w:sz w:val="24"/>
                <w:szCs w:val="24"/>
                <w:shd w:val="clear" w:color="auto" w:fill="FEFEFE"/>
                <w:lang w:val="en-US"/>
              </w:rPr>
              <w:t>e 4</w:t>
            </w:r>
            <w:r w:rsidR="00255672">
              <w:rPr>
                <w:rFonts w:ascii="Times New Roman" w:hAnsi="Times New Roman" w:cs="Times New Roman"/>
                <w:sz w:val="24"/>
                <w:szCs w:val="24"/>
                <w:shd w:val="clear" w:color="auto" w:fill="FEFEFE"/>
              </w:rPr>
              <w:t>1 точки.</w:t>
            </w:r>
            <w:r w:rsidR="00385231">
              <w:rPr>
                <w:rFonts w:ascii="Times New Roman" w:hAnsi="Times New Roman" w:cs="Times New Roman"/>
                <w:sz w:val="24"/>
                <w:szCs w:val="24"/>
                <w:shd w:val="clear" w:color="auto" w:fill="FEFEFE"/>
                <w:lang w:val="en-US"/>
              </w:rPr>
              <w:t xml:space="preserve"> </w:t>
            </w:r>
          </w:p>
          <w:p w14:paraId="24F30E3F" w14:textId="3CB78244" w:rsidR="0035311E" w:rsidRDefault="0035311E" w:rsidP="007541D6">
            <w:pPr>
              <w:widowControl w:val="0"/>
              <w:autoSpaceDE w:val="0"/>
              <w:autoSpaceDN w:val="0"/>
              <w:adjustRightInd w:val="0"/>
              <w:spacing w:line="276" w:lineRule="auto"/>
              <w:ind w:firstLine="483"/>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 </w:t>
            </w:r>
          </w:p>
          <w:p w14:paraId="63E0E5E7" w14:textId="7D7E13A3" w:rsidR="0035311E" w:rsidRDefault="00B61BC6" w:rsidP="007541D6">
            <w:pPr>
              <w:widowControl w:val="0"/>
              <w:autoSpaceDE w:val="0"/>
              <w:autoSpaceDN w:val="0"/>
              <w:adjustRightInd w:val="0"/>
              <w:spacing w:line="276" w:lineRule="auto"/>
              <w:ind w:firstLine="483"/>
              <w:jc w:val="both"/>
              <w:rPr>
                <w:rFonts w:ascii="Times New Roman" w:hAnsi="Times New Roman" w:cs="Times New Roman"/>
                <w:b/>
                <w:sz w:val="24"/>
                <w:szCs w:val="24"/>
                <w:shd w:val="clear" w:color="auto" w:fill="FEFEFE"/>
              </w:rPr>
            </w:pPr>
            <w:r w:rsidRPr="007541D6">
              <w:rPr>
                <w:rFonts w:ascii="Times New Roman" w:hAnsi="Times New Roman" w:cs="Times New Roman"/>
                <w:b/>
                <w:sz w:val="24"/>
                <w:szCs w:val="24"/>
                <w:shd w:val="clear" w:color="auto" w:fill="FEFEFE"/>
              </w:rPr>
              <w:t xml:space="preserve">2. Оценка по критериите в раздел </w:t>
            </w:r>
            <w:r w:rsidRPr="007541D6">
              <w:rPr>
                <w:rFonts w:ascii="Times New Roman" w:hAnsi="Times New Roman" w:cs="Times New Roman"/>
                <w:b/>
                <w:sz w:val="24"/>
                <w:szCs w:val="24"/>
                <w:shd w:val="clear" w:color="auto" w:fill="FEFEFE"/>
                <w:lang w:val="en-US"/>
              </w:rPr>
              <w:t>II</w:t>
            </w:r>
            <w:r w:rsidRPr="007541D6">
              <w:rPr>
                <w:rFonts w:ascii="Times New Roman" w:hAnsi="Times New Roman" w:cs="Times New Roman"/>
                <w:b/>
                <w:sz w:val="24"/>
                <w:szCs w:val="24"/>
                <w:shd w:val="clear" w:color="auto" w:fill="FEFEFE"/>
              </w:rPr>
              <w:t xml:space="preserve"> „Капацитет на МИГ за изпълнение на стратегията“</w:t>
            </w:r>
          </w:p>
          <w:p w14:paraId="29718509" w14:textId="279F2E68" w:rsidR="00056A00" w:rsidRPr="007541D6" w:rsidRDefault="00056A00" w:rsidP="006F5991">
            <w:pPr>
              <w:widowControl w:val="0"/>
              <w:autoSpaceDE w:val="0"/>
              <w:autoSpaceDN w:val="0"/>
              <w:adjustRightInd w:val="0"/>
              <w:spacing w:after="200" w:line="276" w:lineRule="auto"/>
              <w:ind w:firstLine="483"/>
              <w:jc w:val="both"/>
              <w:rPr>
                <w:rFonts w:ascii="Times New Roman" w:hAnsi="Times New Roman" w:cs="Times New Roman"/>
                <w:sz w:val="24"/>
                <w:szCs w:val="24"/>
                <w:shd w:val="clear" w:color="auto" w:fill="FEFEFE"/>
              </w:rPr>
            </w:pPr>
            <w:r w:rsidRPr="007541D6">
              <w:rPr>
                <w:rFonts w:ascii="Times New Roman" w:hAnsi="Times New Roman" w:cs="Times New Roman"/>
                <w:sz w:val="24"/>
                <w:szCs w:val="24"/>
                <w:shd w:val="clear" w:color="auto" w:fill="FEFEFE"/>
              </w:rPr>
              <w:t xml:space="preserve">Критериите, включени в раздел </w:t>
            </w:r>
            <w:r w:rsidRPr="007541D6">
              <w:rPr>
                <w:rFonts w:ascii="Times New Roman" w:hAnsi="Times New Roman" w:cs="Times New Roman"/>
                <w:sz w:val="24"/>
                <w:szCs w:val="24"/>
                <w:shd w:val="clear" w:color="auto" w:fill="FEFEFE"/>
                <w:lang w:val="en-US"/>
              </w:rPr>
              <w:t>I</w:t>
            </w:r>
            <w:r>
              <w:rPr>
                <w:rFonts w:ascii="Times New Roman" w:hAnsi="Times New Roman" w:cs="Times New Roman"/>
                <w:sz w:val="24"/>
                <w:szCs w:val="24"/>
                <w:shd w:val="clear" w:color="auto" w:fill="FEFEFE"/>
                <w:lang w:val="en-US"/>
              </w:rPr>
              <w:t>I</w:t>
            </w:r>
            <w:r w:rsidRPr="007541D6">
              <w:rPr>
                <w:rFonts w:ascii="Times New Roman" w:hAnsi="Times New Roman" w:cs="Times New Roman"/>
                <w:sz w:val="24"/>
                <w:szCs w:val="24"/>
                <w:shd w:val="clear" w:color="auto" w:fill="FEFEFE"/>
              </w:rPr>
              <w:t xml:space="preserve"> „Ка</w:t>
            </w:r>
            <w:r>
              <w:rPr>
                <w:rFonts w:ascii="Times New Roman" w:hAnsi="Times New Roman" w:cs="Times New Roman"/>
                <w:sz w:val="24"/>
                <w:szCs w:val="24"/>
                <w:shd w:val="clear" w:color="auto" w:fill="FEFEFE"/>
              </w:rPr>
              <w:t>пацитет на МИГ за изпълнение на стратегията</w:t>
            </w:r>
            <w:r w:rsidRPr="007541D6">
              <w:rPr>
                <w:rFonts w:ascii="Times New Roman" w:hAnsi="Times New Roman" w:cs="Times New Roman"/>
                <w:sz w:val="24"/>
                <w:szCs w:val="24"/>
                <w:shd w:val="clear" w:color="auto" w:fill="FEFEFE"/>
              </w:rPr>
              <w:t xml:space="preserve">“, са количествено измерими и тяхната тежест е посочена в приложение № </w:t>
            </w:r>
            <w:r w:rsidR="00647EDB">
              <w:rPr>
                <w:rFonts w:ascii="Times New Roman" w:hAnsi="Times New Roman" w:cs="Times New Roman"/>
                <w:sz w:val="24"/>
                <w:szCs w:val="24"/>
                <w:shd w:val="clear" w:color="auto" w:fill="FEFEFE"/>
              </w:rPr>
              <w:t>5</w:t>
            </w:r>
            <w:r w:rsidRPr="007541D6">
              <w:rPr>
                <w:rFonts w:ascii="Times New Roman" w:hAnsi="Times New Roman" w:cs="Times New Roman"/>
                <w:sz w:val="24"/>
                <w:szCs w:val="24"/>
                <w:shd w:val="clear" w:color="auto" w:fill="FEFEFE"/>
              </w:rPr>
              <w:t>. По отделните крите</w:t>
            </w:r>
            <w:r w:rsidR="00101411">
              <w:rPr>
                <w:rFonts w:ascii="Times New Roman" w:hAnsi="Times New Roman" w:cs="Times New Roman"/>
                <w:sz w:val="24"/>
                <w:szCs w:val="24"/>
                <w:shd w:val="clear" w:color="auto" w:fill="FEFEFE"/>
              </w:rPr>
              <w:t>р</w:t>
            </w:r>
            <w:r w:rsidRPr="007541D6">
              <w:rPr>
                <w:rFonts w:ascii="Times New Roman" w:hAnsi="Times New Roman" w:cs="Times New Roman"/>
                <w:sz w:val="24"/>
                <w:szCs w:val="24"/>
                <w:shd w:val="clear" w:color="auto" w:fill="FEFEFE"/>
              </w:rPr>
              <w:t xml:space="preserve">ии за оценка се присъждат точки в зависимост от </w:t>
            </w:r>
            <w:r>
              <w:rPr>
                <w:rFonts w:ascii="Times New Roman" w:hAnsi="Times New Roman" w:cs="Times New Roman"/>
                <w:sz w:val="24"/>
                <w:szCs w:val="24"/>
                <w:shd w:val="clear" w:color="auto" w:fill="FEFEFE"/>
              </w:rPr>
              <w:t xml:space="preserve">наличието на опит на МИГ и/или на членовете на колективния управителен орган по подхода ЛИДЕР/ВОМР, управленски опит и опит по подхода ЛИДЕР/ВОМР на изпълнителния директор на МИГ и опит </w:t>
            </w:r>
            <w:r w:rsidR="00E81F2D">
              <w:rPr>
                <w:rFonts w:ascii="Times New Roman" w:hAnsi="Times New Roman" w:cs="Times New Roman"/>
                <w:sz w:val="24"/>
                <w:szCs w:val="24"/>
                <w:shd w:val="clear" w:color="auto" w:fill="FEFEFE"/>
              </w:rPr>
              <w:t>по</w:t>
            </w:r>
            <w:r w:rsidR="00E81F2D">
              <w:rPr>
                <w:rFonts w:ascii="Times New Roman" w:hAnsi="Times New Roman" w:cs="Times New Roman"/>
                <w:sz w:val="24"/>
                <w:szCs w:val="24"/>
                <w:shd w:val="clear" w:color="auto" w:fill="FEFEFE"/>
                <w:lang w:val="en-GB"/>
              </w:rPr>
              <w:t xml:space="preserve"> </w:t>
            </w:r>
            <w:r w:rsidR="00E81F2D" w:rsidRPr="008513D4">
              <w:rPr>
                <w:rFonts w:ascii="Times New Roman" w:eastAsia="Times New Roman" w:hAnsi="Times New Roman" w:cs="Times New Roman"/>
                <w:sz w:val="24"/>
                <w:szCs w:val="24"/>
              </w:rPr>
              <w:t>ПРСР/</w:t>
            </w:r>
            <w:r w:rsidR="00E81F2D">
              <w:rPr>
                <w:rFonts w:ascii="Times New Roman" w:eastAsia="Times New Roman" w:hAnsi="Times New Roman" w:cs="Times New Roman"/>
                <w:sz w:val="24"/>
                <w:szCs w:val="24"/>
              </w:rPr>
              <w:t>п</w:t>
            </w:r>
            <w:r w:rsidR="00E81F2D" w:rsidRPr="008513D4">
              <w:rPr>
                <w:rFonts w:ascii="Times New Roman" w:eastAsia="Times New Roman" w:hAnsi="Times New Roman" w:cs="Times New Roman"/>
                <w:sz w:val="24"/>
                <w:szCs w:val="24"/>
              </w:rPr>
              <w:t>рограми, финансирани от други европейски фондове</w:t>
            </w:r>
            <w:r w:rsidR="00E81F2D">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на експерта на МИГ, както и наличие на </w:t>
            </w:r>
            <w:r w:rsidR="006F5991">
              <w:rPr>
                <w:rFonts w:ascii="Times New Roman" w:hAnsi="Times New Roman" w:cs="Times New Roman"/>
                <w:sz w:val="24"/>
                <w:szCs w:val="24"/>
                <w:shd w:val="clear" w:color="auto" w:fill="FEFEFE"/>
              </w:rPr>
              <w:t xml:space="preserve">осигурен </w:t>
            </w:r>
            <w:r>
              <w:rPr>
                <w:rFonts w:ascii="Times New Roman" w:hAnsi="Times New Roman" w:cs="Times New Roman"/>
                <w:sz w:val="24"/>
                <w:szCs w:val="24"/>
                <w:shd w:val="clear" w:color="auto" w:fill="FEFEFE"/>
              </w:rPr>
              <w:t xml:space="preserve">финансов </w:t>
            </w:r>
            <w:r w:rsidR="006F5991">
              <w:rPr>
                <w:rFonts w:ascii="Times New Roman" w:hAnsi="Times New Roman" w:cs="Times New Roman"/>
                <w:sz w:val="24"/>
                <w:szCs w:val="24"/>
                <w:shd w:val="clear" w:color="auto" w:fill="FEFEFE"/>
              </w:rPr>
              <w:t>ресурс</w:t>
            </w:r>
            <w:r>
              <w:rPr>
                <w:rFonts w:ascii="Times New Roman" w:hAnsi="Times New Roman" w:cs="Times New Roman"/>
                <w:sz w:val="24"/>
                <w:szCs w:val="24"/>
                <w:shd w:val="clear" w:color="auto" w:fill="FEFEFE"/>
              </w:rPr>
              <w:t xml:space="preserve"> на МИГ за изпълнение на стратегията за ВОМР. </w:t>
            </w:r>
            <w:r w:rsidRPr="007541D6">
              <w:rPr>
                <w:rFonts w:ascii="Times New Roman" w:hAnsi="Times New Roman" w:cs="Times New Roman"/>
                <w:sz w:val="24"/>
                <w:szCs w:val="24"/>
                <w:shd w:val="clear" w:color="auto" w:fill="FEFEFE"/>
              </w:rPr>
              <w:t>Оценката се базира на представените от кандидата документи и/или списъци и регистри</w:t>
            </w:r>
            <w:r w:rsidR="006F5991">
              <w:rPr>
                <w:rFonts w:ascii="Times New Roman" w:hAnsi="Times New Roman" w:cs="Times New Roman"/>
                <w:sz w:val="24"/>
                <w:szCs w:val="24"/>
                <w:shd w:val="clear" w:color="auto" w:fill="FEFEFE"/>
              </w:rPr>
              <w:t xml:space="preserve"> и посочените в </w:t>
            </w:r>
            <w:r w:rsidR="00CF63CD">
              <w:rPr>
                <w:rFonts w:ascii="Times New Roman" w:hAnsi="Times New Roman" w:cs="Times New Roman"/>
                <w:sz w:val="24"/>
                <w:szCs w:val="24"/>
                <w:shd w:val="clear" w:color="auto" w:fill="FEFEFE"/>
              </w:rPr>
              <w:t>Р</w:t>
            </w:r>
            <w:r w:rsidR="006F5991">
              <w:rPr>
                <w:rFonts w:ascii="Times New Roman" w:hAnsi="Times New Roman" w:cs="Times New Roman"/>
                <w:sz w:val="24"/>
                <w:szCs w:val="24"/>
                <w:shd w:val="clear" w:color="auto" w:fill="FEFEFE"/>
              </w:rPr>
              <w:t>аздел 27 от настоящите Условия за кандидатстване определения за опит в изпълнението на подхода ЛИДЕР/ВОМР и управленски опит</w:t>
            </w:r>
            <w:r w:rsidR="006F5991" w:rsidRPr="006F5991">
              <w:rPr>
                <w:rFonts w:ascii="Times New Roman" w:hAnsi="Times New Roman" w:cs="Times New Roman"/>
                <w:sz w:val="24"/>
                <w:szCs w:val="24"/>
                <w:shd w:val="clear" w:color="auto" w:fill="FEFEFE"/>
              </w:rPr>
              <w:t xml:space="preserve"> </w:t>
            </w:r>
            <w:r w:rsidRPr="007541D6">
              <w:rPr>
                <w:rFonts w:ascii="Times New Roman" w:hAnsi="Times New Roman" w:cs="Times New Roman"/>
                <w:sz w:val="24"/>
                <w:szCs w:val="24"/>
                <w:shd w:val="clear" w:color="auto" w:fill="FEFEFE"/>
              </w:rPr>
              <w:t>като оценителите следва да преценят съответс</w:t>
            </w:r>
            <w:r w:rsidR="00101411">
              <w:rPr>
                <w:rFonts w:ascii="Times New Roman" w:hAnsi="Times New Roman" w:cs="Times New Roman"/>
                <w:sz w:val="24"/>
                <w:szCs w:val="24"/>
                <w:shd w:val="clear" w:color="auto" w:fill="FEFEFE"/>
              </w:rPr>
              <w:t>т</w:t>
            </w:r>
            <w:r w:rsidRPr="007541D6">
              <w:rPr>
                <w:rFonts w:ascii="Times New Roman" w:hAnsi="Times New Roman" w:cs="Times New Roman"/>
                <w:sz w:val="24"/>
                <w:szCs w:val="24"/>
                <w:shd w:val="clear" w:color="auto" w:fill="FEFEFE"/>
              </w:rPr>
              <w:t xml:space="preserve">вието на МИГ с всеки отделен критерий и да посочат точките, които да бъдат присъдени. </w:t>
            </w:r>
            <w:r w:rsidR="008B5E03">
              <w:rPr>
                <w:rFonts w:ascii="Times New Roman" w:hAnsi="Times New Roman" w:cs="Times New Roman"/>
                <w:sz w:val="24"/>
                <w:szCs w:val="24"/>
                <w:shd w:val="clear" w:color="auto" w:fill="FEFEFE"/>
              </w:rPr>
              <w:t xml:space="preserve">В случай, че МИГ предвижда да наеме повече от един служител на длъжност „Експерт по прилагане на СВОМР“, по критерия за опит се оценява само един експерт, за който са представени съответните документи. Същият следва да бъде посочен от МИГ в раздел „Допълнителна информация, необходима за оценка на проектното предложение“ от формуляра за кандидатстване. </w:t>
            </w:r>
            <w:r w:rsidR="00255672" w:rsidRPr="00255672">
              <w:rPr>
                <w:rFonts w:ascii="Times New Roman" w:hAnsi="Times New Roman" w:cs="Times New Roman"/>
                <w:sz w:val="24"/>
                <w:szCs w:val="24"/>
                <w:shd w:val="clear" w:color="auto" w:fill="FEFEFE"/>
              </w:rPr>
              <w:t xml:space="preserve">Максималният брой точки, който кандидатът може да получи като оценка по критериите, включени в раздел </w:t>
            </w:r>
            <w:r w:rsidR="00255672" w:rsidRPr="00255672">
              <w:rPr>
                <w:rFonts w:ascii="Times New Roman" w:hAnsi="Times New Roman" w:cs="Times New Roman"/>
                <w:sz w:val="24"/>
                <w:szCs w:val="24"/>
                <w:shd w:val="clear" w:color="auto" w:fill="FEFEFE"/>
                <w:lang w:val="en-US"/>
              </w:rPr>
              <w:t>I</w:t>
            </w:r>
            <w:r w:rsidR="00255672">
              <w:rPr>
                <w:rFonts w:ascii="Times New Roman" w:hAnsi="Times New Roman" w:cs="Times New Roman"/>
                <w:sz w:val="24"/>
                <w:szCs w:val="24"/>
                <w:shd w:val="clear" w:color="auto" w:fill="FEFEFE"/>
                <w:lang w:val="en-US"/>
              </w:rPr>
              <w:t>I</w:t>
            </w:r>
            <w:r w:rsidR="00255672" w:rsidRPr="00255672">
              <w:rPr>
                <w:rFonts w:ascii="Times New Roman" w:hAnsi="Times New Roman" w:cs="Times New Roman"/>
                <w:sz w:val="24"/>
                <w:szCs w:val="24"/>
                <w:shd w:val="clear" w:color="auto" w:fill="FEFEFE"/>
                <w:lang w:val="en-US"/>
              </w:rPr>
              <w:t xml:space="preserve"> </w:t>
            </w:r>
            <w:r w:rsidR="00255672" w:rsidRPr="00255672">
              <w:rPr>
                <w:rFonts w:ascii="Times New Roman" w:hAnsi="Times New Roman" w:cs="Times New Roman"/>
                <w:sz w:val="24"/>
                <w:szCs w:val="24"/>
                <w:shd w:val="clear" w:color="auto" w:fill="FEFEFE"/>
              </w:rPr>
              <w:t xml:space="preserve">„Капацитет на МИГ за изпълнение на стратегията“ </w:t>
            </w:r>
            <w:r w:rsidR="00255672" w:rsidRPr="00255672">
              <w:rPr>
                <w:rFonts w:ascii="Times New Roman" w:hAnsi="Times New Roman" w:cs="Times New Roman"/>
                <w:sz w:val="24"/>
                <w:szCs w:val="24"/>
                <w:shd w:val="clear" w:color="auto" w:fill="FEFEFE"/>
                <w:lang w:val="en-US"/>
              </w:rPr>
              <w:t xml:space="preserve">e </w:t>
            </w:r>
            <w:r w:rsidR="00255672">
              <w:rPr>
                <w:rFonts w:ascii="Times New Roman" w:hAnsi="Times New Roman" w:cs="Times New Roman"/>
                <w:sz w:val="24"/>
                <w:szCs w:val="24"/>
                <w:shd w:val="clear" w:color="auto" w:fill="FEFEFE"/>
              </w:rPr>
              <w:t>25</w:t>
            </w:r>
            <w:r w:rsidR="00255672" w:rsidRPr="00255672">
              <w:rPr>
                <w:rFonts w:ascii="Times New Roman" w:hAnsi="Times New Roman" w:cs="Times New Roman"/>
                <w:sz w:val="24"/>
                <w:szCs w:val="24"/>
                <w:shd w:val="clear" w:color="auto" w:fill="FEFEFE"/>
              </w:rPr>
              <w:t xml:space="preserve"> точки.</w:t>
            </w:r>
            <w:r w:rsidR="00255672" w:rsidRPr="00255672">
              <w:rPr>
                <w:rFonts w:ascii="Times New Roman" w:hAnsi="Times New Roman" w:cs="Times New Roman"/>
                <w:sz w:val="24"/>
                <w:szCs w:val="24"/>
                <w:shd w:val="clear" w:color="auto" w:fill="FEFEFE"/>
                <w:lang w:val="en-US"/>
              </w:rPr>
              <w:t xml:space="preserve"> </w:t>
            </w:r>
            <w:r w:rsidRPr="007541D6">
              <w:rPr>
                <w:rFonts w:ascii="Times New Roman" w:hAnsi="Times New Roman" w:cs="Times New Roman"/>
                <w:sz w:val="24"/>
                <w:szCs w:val="24"/>
                <w:shd w:val="clear" w:color="auto" w:fill="FEFEFE"/>
              </w:rPr>
              <w:t xml:space="preserve"> </w:t>
            </w:r>
          </w:p>
          <w:p w14:paraId="1D50A3AE" w14:textId="508ABAD8" w:rsidR="00056A00" w:rsidRPr="007541D6" w:rsidRDefault="003B51C4" w:rsidP="007541D6">
            <w:pPr>
              <w:widowControl w:val="0"/>
              <w:autoSpaceDE w:val="0"/>
              <w:autoSpaceDN w:val="0"/>
              <w:adjustRightInd w:val="0"/>
              <w:spacing w:line="276" w:lineRule="auto"/>
              <w:ind w:firstLine="483"/>
              <w:jc w:val="both"/>
              <w:rPr>
                <w:rFonts w:ascii="Times New Roman" w:hAnsi="Times New Roman" w:cs="Times New Roman"/>
                <w:b/>
                <w:sz w:val="24"/>
                <w:szCs w:val="24"/>
                <w:shd w:val="clear" w:color="auto" w:fill="FEFEFE"/>
              </w:rPr>
            </w:pPr>
            <w:r>
              <w:rPr>
                <w:rFonts w:ascii="Times New Roman" w:hAnsi="Times New Roman" w:cs="Times New Roman"/>
                <w:b/>
                <w:sz w:val="24"/>
                <w:szCs w:val="24"/>
                <w:shd w:val="clear" w:color="auto" w:fill="FEFEFE"/>
              </w:rPr>
              <w:t>3.</w:t>
            </w:r>
            <w:r w:rsidR="00056A00">
              <w:rPr>
                <w:rFonts w:ascii="Times New Roman" w:hAnsi="Times New Roman" w:cs="Times New Roman"/>
                <w:b/>
                <w:sz w:val="24"/>
                <w:szCs w:val="24"/>
                <w:shd w:val="clear" w:color="auto" w:fill="FEFEFE"/>
              </w:rPr>
              <w:t xml:space="preserve"> Оценка по критерии в раздел </w:t>
            </w:r>
            <w:r w:rsidR="00056A00">
              <w:rPr>
                <w:rFonts w:ascii="Times New Roman" w:hAnsi="Times New Roman" w:cs="Times New Roman"/>
                <w:b/>
                <w:sz w:val="24"/>
                <w:szCs w:val="24"/>
                <w:shd w:val="clear" w:color="auto" w:fill="FEFEFE"/>
                <w:lang w:val="en-US"/>
              </w:rPr>
              <w:t xml:space="preserve">III </w:t>
            </w:r>
            <w:r w:rsidR="00056A00">
              <w:rPr>
                <w:rFonts w:ascii="Times New Roman" w:hAnsi="Times New Roman" w:cs="Times New Roman"/>
                <w:b/>
                <w:sz w:val="24"/>
                <w:szCs w:val="24"/>
                <w:shd w:val="clear" w:color="auto" w:fill="FEFEFE"/>
              </w:rPr>
              <w:t>„</w:t>
            </w:r>
            <w:r w:rsidR="00056A00" w:rsidRPr="001637BC">
              <w:rPr>
                <w:rFonts w:ascii="Times New Roman" w:hAnsi="Times New Roman" w:cs="Times New Roman"/>
                <w:b/>
                <w:sz w:val="24"/>
                <w:szCs w:val="24"/>
                <w:shd w:val="clear" w:color="auto" w:fill="FEFEFE"/>
              </w:rPr>
              <w:t>К</w:t>
            </w:r>
            <w:r w:rsidR="00056A00" w:rsidRPr="00AB74F6">
              <w:rPr>
                <w:rFonts w:ascii="Times New Roman" w:hAnsi="Times New Roman" w:cs="Times New Roman"/>
                <w:b/>
                <w:sz w:val="24"/>
                <w:szCs w:val="24"/>
                <w:shd w:val="clear" w:color="auto" w:fill="FEFEFE"/>
              </w:rPr>
              <w:t>ачество</w:t>
            </w:r>
            <w:r w:rsidR="00056A00">
              <w:rPr>
                <w:rFonts w:ascii="Times New Roman" w:hAnsi="Times New Roman" w:cs="Times New Roman"/>
                <w:b/>
                <w:sz w:val="24"/>
                <w:szCs w:val="24"/>
                <w:shd w:val="clear" w:color="auto" w:fill="FEFEFE"/>
              </w:rPr>
              <w:t xml:space="preserve"> на стратегията за </w:t>
            </w:r>
            <w:r w:rsidR="00056A00" w:rsidRPr="00056A00">
              <w:rPr>
                <w:rFonts w:ascii="Times New Roman" w:hAnsi="Times New Roman" w:cs="Times New Roman"/>
                <w:b/>
                <w:sz w:val="24"/>
                <w:szCs w:val="24"/>
                <w:shd w:val="clear" w:color="auto" w:fill="FEFEFE"/>
                <w:lang w:val="en-US"/>
              </w:rPr>
              <w:t>ВОМР</w:t>
            </w:r>
            <w:r w:rsidR="00056A00">
              <w:rPr>
                <w:rFonts w:ascii="Times New Roman" w:hAnsi="Times New Roman" w:cs="Times New Roman"/>
                <w:b/>
                <w:sz w:val="24"/>
                <w:szCs w:val="24"/>
                <w:shd w:val="clear" w:color="auto" w:fill="FEFEFE"/>
              </w:rPr>
              <w:t>“</w:t>
            </w:r>
            <w:r w:rsidR="00056A00" w:rsidRPr="00056A00">
              <w:rPr>
                <w:rFonts w:ascii="Times New Roman" w:hAnsi="Times New Roman" w:cs="Times New Roman"/>
                <w:b/>
                <w:sz w:val="24"/>
                <w:szCs w:val="24"/>
                <w:shd w:val="clear" w:color="auto" w:fill="FEFEFE"/>
                <w:lang w:val="en-US"/>
              </w:rPr>
              <w:t> </w:t>
            </w:r>
          </w:p>
          <w:p w14:paraId="79E75303" w14:textId="2C63FDDF" w:rsidR="00255672" w:rsidRPr="00255672" w:rsidRDefault="00B81497" w:rsidP="00255672">
            <w:pPr>
              <w:widowControl w:val="0"/>
              <w:autoSpaceDE w:val="0"/>
              <w:autoSpaceDN w:val="0"/>
              <w:adjustRightInd w:val="0"/>
              <w:spacing w:line="276" w:lineRule="auto"/>
              <w:ind w:firstLine="483"/>
              <w:jc w:val="both"/>
              <w:rPr>
                <w:rFonts w:ascii="Times New Roman" w:hAnsi="Times New Roman" w:cs="Times New Roman"/>
                <w:sz w:val="24"/>
                <w:szCs w:val="24"/>
                <w:shd w:val="clear" w:color="auto" w:fill="FEFEFE"/>
              </w:rPr>
            </w:pPr>
            <w:r w:rsidRPr="00B81497">
              <w:rPr>
                <w:rFonts w:ascii="Times New Roman" w:hAnsi="Times New Roman" w:cs="Times New Roman"/>
                <w:sz w:val="24"/>
                <w:szCs w:val="24"/>
                <w:shd w:val="clear" w:color="auto" w:fill="FEFEFE"/>
              </w:rPr>
              <w:t xml:space="preserve">Критериите, включени в раздел </w:t>
            </w:r>
            <w:r w:rsidRPr="00B81497">
              <w:rPr>
                <w:rFonts w:ascii="Times New Roman" w:hAnsi="Times New Roman" w:cs="Times New Roman"/>
                <w:sz w:val="24"/>
                <w:szCs w:val="24"/>
                <w:shd w:val="clear" w:color="auto" w:fill="FEFEFE"/>
                <w:lang w:val="en-US"/>
              </w:rPr>
              <w:t>II</w:t>
            </w:r>
            <w:r>
              <w:rPr>
                <w:rFonts w:ascii="Times New Roman" w:hAnsi="Times New Roman" w:cs="Times New Roman"/>
                <w:sz w:val="24"/>
                <w:szCs w:val="24"/>
                <w:shd w:val="clear" w:color="auto" w:fill="FEFEFE"/>
                <w:lang w:val="en-US"/>
              </w:rPr>
              <w:t>I</w:t>
            </w:r>
            <w:r w:rsidRPr="00B81497">
              <w:rPr>
                <w:rFonts w:ascii="Times New Roman" w:hAnsi="Times New Roman" w:cs="Times New Roman"/>
                <w:sz w:val="24"/>
                <w:szCs w:val="24"/>
                <w:shd w:val="clear" w:color="auto" w:fill="FEFEFE"/>
              </w:rPr>
              <w:t xml:space="preserve"> „Ка</w:t>
            </w:r>
            <w:r>
              <w:rPr>
                <w:rFonts w:ascii="Times New Roman" w:hAnsi="Times New Roman" w:cs="Times New Roman"/>
                <w:sz w:val="24"/>
                <w:szCs w:val="24"/>
                <w:shd w:val="clear" w:color="auto" w:fill="FEFEFE"/>
              </w:rPr>
              <w:t>чество на стратегията за ВОМР“</w:t>
            </w:r>
            <w:r w:rsidR="00CF63CD">
              <w:rPr>
                <w:rFonts w:ascii="Times New Roman" w:hAnsi="Times New Roman" w:cs="Times New Roman"/>
                <w:sz w:val="24"/>
                <w:szCs w:val="24"/>
                <w:shd w:val="clear" w:color="auto" w:fill="FEFEFE"/>
              </w:rPr>
              <w:t>,</w:t>
            </w:r>
            <w:r w:rsidRPr="00B81497">
              <w:rPr>
                <w:rFonts w:ascii="Times New Roman" w:hAnsi="Times New Roman" w:cs="Times New Roman"/>
                <w:sz w:val="24"/>
                <w:szCs w:val="24"/>
                <w:shd w:val="clear" w:color="auto" w:fill="FEFEFE"/>
              </w:rPr>
              <w:t xml:space="preserve"> са </w:t>
            </w:r>
            <w:r w:rsidR="00CF63CD">
              <w:rPr>
                <w:rFonts w:ascii="Times New Roman" w:hAnsi="Times New Roman" w:cs="Times New Roman"/>
                <w:sz w:val="24"/>
                <w:szCs w:val="24"/>
                <w:shd w:val="clear" w:color="auto" w:fill="FEFEFE"/>
              </w:rPr>
              <w:t xml:space="preserve">свързани с оценка на релевантността на </w:t>
            </w:r>
            <w:r w:rsidR="00464A2A">
              <w:rPr>
                <w:rFonts w:ascii="Times New Roman" w:hAnsi="Times New Roman" w:cs="Times New Roman"/>
                <w:sz w:val="24"/>
                <w:szCs w:val="24"/>
                <w:shd w:val="clear" w:color="auto" w:fill="FEFEFE"/>
              </w:rPr>
              <w:t xml:space="preserve">включените в стратегиите мерки и дейности с идентифицираните в анализите на територията на МИГ проблеми и цели като тяхната тежест е </w:t>
            </w:r>
            <w:r w:rsidRPr="00B81497">
              <w:rPr>
                <w:rFonts w:ascii="Times New Roman" w:hAnsi="Times New Roman" w:cs="Times New Roman"/>
                <w:sz w:val="24"/>
                <w:szCs w:val="24"/>
                <w:shd w:val="clear" w:color="auto" w:fill="FEFEFE"/>
              </w:rPr>
              <w:t>посочен</w:t>
            </w:r>
            <w:r w:rsidR="00464A2A">
              <w:rPr>
                <w:rFonts w:ascii="Times New Roman" w:hAnsi="Times New Roman" w:cs="Times New Roman"/>
                <w:sz w:val="24"/>
                <w:szCs w:val="24"/>
                <w:shd w:val="clear" w:color="auto" w:fill="FEFEFE"/>
              </w:rPr>
              <w:t>а</w:t>
            </w:r>
            <w:r w:rsidRPr="00B81497">
              <w:rPr>
                <w:rFonts w:ascii="Times New Roman" w:hAnsi="Times New Roman" w:cs="Times New Roman"/>
                <w:sz w:val="24"/>
                <w:szCs w:val="24"/>
                <w:shd w:val="clear" w:color="auto" w:fill="FEFEFE"/>
              </w:rPr>
              <w:t xml:space="preserve"> в приложение № </w:t>
            </w:r>
            <w:r w:rsidR="00647EDB">
              <w:rPr>
                <w:rFonts w:ascii="Times New Roman" w:hAnsi="Times New Roman" w:cs="Times New Roman"/>
                <w:sz w:val="24"/>
                <w:szCs w:val="24"/>
                <w:shd w:val="clear" w:color="auto" w:fill="FEFEFE"/>
              </w:rPr>
              <w:t>5</w:t>
            </w:r>
            <w:r w:rsidRPr="00B81497">
              <w:rPr>
                <w:rFonts w:ascii="Times New Roman" w:hAnsi="Times New Roman" w:cs="Times New Roman"/>
                <w:sz w:val="24"/>
                <w:szCs w:val="24"/>
                <w:shd w:val="clear" w:color="auto" w:fill="FEFEFE"/>
              </w:rPr>
              <w:t>.</w:t>
            </w:r>
            <w:r w:rsidR="00464A2A">
              <w:rPr>
                <w:rFonts w:ascii="Times New Roman" w:hAnsi="Times New Roman" w:cs="Times New Roman"/>
                <w:sz w:val="24"/>
                <w:szCs w:val="24"/>
                <w:shd w:val="clear" w:color="auto" w:fill="FEFEFE"/>
              </w:rPr>
              <w:t xml:space="preserve"> Качеството на стратегиите за ВОМР се преценява чрез </w:t>
            </w:r>
            <w:r w:rsidR="001B3605">
              <w:rPr>
                <w:rFonts w:ascii="Times New Roman" w:hAnsi="Times New Roman" w:cs="Times New Roman"/>
                <w:sz w:val="24"/>
                <w:szCs w:val="24"/>
                <w:shd w:val="clear" w:color="auto" w:fill="FEFEFE"/>
              </w:rPr>
              <w:lastRenderedPageBreak/>
              <w:t>седем</w:t>
            </w:r>
            <w:r w:rsidR="00464A2A">
              <w:rPr>
                <w:rFonts w:ascii="Times New Roman" w:hAnsi="Times New Roman" w:cs="Times New Roman"/>
                <w:sz w:val="24"/>
                <w:szCs w:val="24"/>
                <w:shd w:val="clear" w:color="auto" w:fill="FEFEFE"/>
              </w:rPr>
              <w:t xml:space="preserve"> групи критерии </w:t>
            </w:r>
            <w:r w:rsidR="00DD3C0C">
              <w:rPr>
                <w:rFonts w:ascii="Times New Roman" w:hAnsi="Times New Roman" w:cs="Times New Roman"/>
                <w:sz w:val="24"/>
                <w:szCs w:val="24"/>
                <w:shd w:val="clear" w:color="auto" w:fill="FEFEFE"/>
              </w:rPr>
              <w:t>–</w:t>
            </w:r>
            <w:r w:rsidR="00464A2A">
              <w:rPr>
                <w:rFonts w:ascii="Times New Roman" w:hAnsi="Times New Roman" w:cs="Times New Roman"/>
                <w:sz w:val="24"/>
                <w:szCs w:val="24"/>
                <w:shd w:val="clear" w:color="auto" w:fill="FEFEFE"/>
              </w:rPr>
              <w:t xml:space="preserve"> </w:t>
            </w:r>
            <w:r w:rsidR="00DD3C0C">
              <w:rPr>
                <w:rFonts w:ascii="Times New Roman" w:hAnsi="Times New Roman" w:cs="Times New Roman"/>
                <w:sz w:val="24"/>
                <w:szCs w:val="24"/>
                <w:shd w:val="clear" w:color="auto" w:fill="FEFEFE"/>
              </w:rPr>
              <w:t xml:space="preserve">„Оценка на качеството на проучванията и анализите“, „Оценка на участието на местната общност в процеса на разработване и съгласуване на стратегията“, „Съответствие на избраните цели на стратегията с потенциала за развитие на територията и идентифицираните потребности“, „Съответствие на избраните мерки с целите на стратегията и потребностите и потенциала на територията съгласно </w:t>
            </w:r>
            <w:r w:rsidR="00DD3C0C">
              <w:rPr>
                <w:rFonts w:ascii="Times New Roman" w:hAnsi="Times New Roman" w:cs="Times New Roman"/>
                <w:sz w:val="24"/>
                <w:szCs w:val="24"/>
                <w:shd w:val="clear" w:color="auto" w:fill="FEFEFE"/>
                <w:lang w:val="en-US"/>
              </w:rPr>
              <w:t xml:space="preserve">SWOT </w:t>
            </w:r>
            <w:r w:rsidR="00DD3C0C">
              <w:rPr>
                <w:rFonts w:ascii="Times New Roman" w:hAnsi="Times New Roman" w:cs="Times New Roman"/>
                <w:sz w:val="24"/>
                <w:szCs w:val="24"/>
                <w:shd w:val="clear" w:color="auto" w:fill="FEFEFE"/>
              </w:rPr>
              <w:t>анализа“, „Съответствие на финансовия план на стратегията с целите и мерките спрямо идентифицираните потребности и потенциала на територията</w:t>
            </w:r>
            <w:r w:rsidR="001B3605">
              <w:rPr>
                <w:rFonts w:ascii="Times New Roman" w:hAnsi="Times New Roman" w:cs="Times New Roman"/>
                <w:sz w:val="24"/>
                <w:szCs w:val="24"/>
                <w:shd w:val="clear" w:color="auto" w:fill="FEFEFE"/>
              </w:rPr>
              <w:t xml:space="preserve">“, „Оценка на уредбата за управление, мониторинг и оценка на стратегията“ и </w:t>
            </w:r>
            <w:r w:rsidRPr="00B81497">
              <w:rPr>
                <w:rFonts w:ascii="Times New Roman" w:hAnsi="Times New Roman" w:cs="Times New Roman"/>
                <w:sz w:val="24"/>
                <w:szCs w:val="24"/>
                <w:shd w:val="clear" w:color="auto" w:fill="FEFEFE"/>
                <w:lang w:val="en-US"/>
              </w:rPr>
              <w:t xml:space="preserve"> </w:t>
            </w:r>
            <w:r w:rsidR="001B3605">
              <w:rPr>
                <w:rFonts w:ascii="Times New Roman" w:hAnsi="Times New Roman" w:cs="Times New Roman"/>
                <w:sz w:val="24"/>
                <w:szCs w:val="24"/>
                <w:shd w:val="clear" w:color="auto" w:fill="FEFEFE"/>
              </w:rPr>
              <w:t>„Оценка на изходните индикатори и индикаторите за резултат, включени в стратегията“.</w:t>
            </w:r>
            <w:r w:rsidR="0031598B">
              <w:rPr>
                <w:rFonts w:ascii="Times New Roman" w:hAnsi="Times New Roman" w:cs="Times New Roman"/>
                <w:sz w:val="24"/>
                <w:szCs w:val="24"/>
                <w:shd w:val="clear" w:color="auto" w:fill="FEFEFE"/>
              </w:rPr>
              <w:t xml:space="preserve"> Оценката се базира на съдържанието, включено в стратегията за ВОМР.</w:t>
            </w:r>
            <w:r w:rsidR="00255672">
              <w:rPr>
                <w:rFonts w:ascii="Times New Roman" w:hAnsi="Times New Roman" w:cs="Times New Roman"/>
                <w:sz w:val="24"/>
                <w:szCs w:val="24"/>
                <w:shd w:val="clear" w:color="auto" w:fill="FEFEFE"/>
              </w:rPr>
              <w:t xml:space="preserve"> </w:t>
            </w:r>
            <w:r w:rsidR="00255672" w:rsidRPr="00255672">
              <w:rPr>
                <w:rFonts w:ascii="Times New Roman" w:hAnsi="Times New Roman" w:cs="Times New Roman"/>
                <w:sz w:val="24"/>
                <w:szCs w:val="24"/>
                <w:shd w:val="clear" w:color="auto" w:fill="FEFEFE"/>
              </w:rPr>
              <w:t xml:space="preserve">Максималният брой точки, който кандидатът може да получи като оценка по критериите, включени в раздел </w:t>
            </w:r>
            <w:r w:rsidR="00255672" w:rsidRPr="00255672">
              <w:rPr>
                <w:rFonts w:ascii="Times New Roman" w:hAnsi="Times New Roman" w:cs="Times New Roman"/>
                <w:sz w:val="24"/>
                <w:szCs w:val="24"/>
                <w:shd w:val="clear" w:color="auto" w:fill="FEFEFE"/>
                <w:lang w:val="en-US"/>
              </w:rPr>
              <w:t>II</w:t>
            </w:r>
            <w:r w:rsidR="00255672">
              <w:rPr>
                <w:rFonts w:ascii="Times New Roman" w:hAnsi="Times New Roman" w:cs="Times New Roman"/>
                <w:sz w:val="24"/>
                <w:szCs w:val="24"/>
                <w:shd w:val="clear" w:color="auto" w:fill="FEFEFE"/>
                <w:lang w:val="en-US"/>
              </w:rPr>
              <w:t>I</w:t>
            </w:r>
            <w:r w:rsidR="00255672" w:rsidRPr="00255672">
              <w:rPr>
                <w:rFonts w:ascii="Times New Roman" w:hAnsi="Times New Roman" w:cs="Times New Roman"/>
                <w:sz w:val="24"/>
                <w:szCs w:val="24"/>
                <w:shd w:val="clear" w:color="auto" w:fill="FEFEFE"/>
                <w:lang w:val="en-US"/>
              </w:rPr>
              <w:t xml:space="preserve"> </w:t>
            </w:r>
            <w:r w:rsidR="00255672" w:rsidRPr="00255672">
              <w:rPr>
                <w:rFonts w:ascii="Times New Roman" w:hAnsi="Times New Roman" w:cs="Times New Roman"/>
                <w:sz w:val="24"/>
                <w:szCs w:val="24"/>
                <w:shd w:val="clear" w:color="auto" w:fill="FEFEFE"/>
              </w:rPr>
              <w:t xml:space="preserve">„Качество на стратегията за ВОМР“ </w:t>
            </w:r>
            <w:r w:rsidR="00255672" w:rsidRPr="00255672">
              <w:rPr>
                <w:rFonts w:ascii="Times New Roman" w:hAnsi="Times New Roman" w:cs="Times New Roman"/>
                <w:sz w:val="24"/>
                <w:szCs w:val="24"/>
                <w:shd w:val="clear" w:color="auto" w:fill="FEFEFE"/>
                <w:lang w:val="en-US"/>
              </w:rPr>
              <w:t xml:space="preserve">e </w:t>
            </w:r>
            <w:r w:rsidR="00255672">
              <w:rPr>
                <w:rFonts w:ascii="Times New Roman" w:hAnsi="Times New Roman" w:cs="Times New Roman"/>
                <w:sz w:val="24"/>
                <w:szCs w:val="24"/>
                <w:shd w:val="clear" w:color="auto" w:fill="FEFEFE"/>
                <w:lang w:val="en-US"/>
              </w:rPr>
              <w:t>66</w:t>
            </w:r>
            <w:r w:rsidR="00255672" w:rsidRPr="00255672">
              <w:rPr>
                <w:rFonts w:ascii="Times New Roman" w:hAnsi="Times New Roman" w:cs="Times New Roman"/>
                <w:sz w:val="24"/>
                <w:szCs w:val="24"/>
                <w:shd w:val="clear" w:color="auto" w:fill="FEFEFE"/>
              </w:rPr>
              <w:t xml:space="preserve"> точки.</w:t>
            </w:r>
            <w:r w:rsidR="00255672" w:rsidRPr="00255672">
              <w:rPr>
                <w:rFonts w:ascii="Times New Roman" w:hAnsi="Times New Roman" w:cs="Times New Roman"/>
                <w:sz w:val="24"/>
                <w:szCs w:val="24"/>
                <w:shd w:val="clear" w:color="auto" w:fill="FEFEFE"/>
                <w:lang w:val="en-US"/>
              </w:rPr>
              <w:t xml:space="preserve"> </w:t>
            </w:r>
          </w:p>
          <w:p w14:paraId="6BD0A171" w14:textId="77777777" w:rsidR="00255672" w:rsidRDefault="00255672" w:rsidP="007541D6">
            <w:pPr>
              <w:widowControl w:val="0"/>
              <w:autoSpaceDE w:val="0"/>
              <w:autoSpaceDN w:val="0"/>
              <w:adjustRightInd w:val="0"/>
              <w:spacing w:line="276" w:lineRule="auto"/>
              <w:ind w:firstLine="483"/>
              <w:jc w:val="both"/>
              <w:rPr>
                <w:rFonts w:ascii="Times New Roman" w:hAnsi="Times New Roman" w:cs="Times New Roman"/>
                <w:sz w:val="24"/>
                <w:szCs w:val="24"/>
                <w:shd w:val="clear" w:color="auto" w:fill="FEFEFE"/>
              </w:rPr>
            </w:pPr>
          </w:p>
          <w:p w14:paraId="1B8450BC" w14:textId="29E5AEBF" w:rsidR="002534C5" w:rsidRPr="007A16AE" w:rsidRDefault="0031598B" w:rsidP="007541D6">
            <w:pPr>
              <w:widowControl w:val="0"/>
              <w:autoSpaceDE w:val="0"/>
              <w:autoSpaceDN w:val="0"/>
              <w:adjustRightInd w:val="0"/>
              <w:spacing w:after="200" w:line="276" w:lineRule="auto"/>
              <w:ind w:firstLine="483"/>
              <w:jc w:val="both"/>
              <w:rPr>
                <w:rFonts w:ascii="Times New Roman" w:hAnsi="Times New Roman" w:cs="Times New Roman"/>
                <w:b/>
                <w:sz w:val="24"/>
                <w:szCs w:val="24"/>
                <w:shd w:val="clear" w:color="auto" w:fill="FEFEFE"/>
              </w:rPr>
            </w:pPr>
            <w:r w:rsidRPr="007A16AE">
              <w:rPr>
                <w:rFonts w:ascii="Times New Roman" w:hAnsi="Times New Roman" w:cs="Times New Roman"/>
                <w:b/>
                <w:sz w:val="24"/>
                <w:szCs w:val="24"/>
                <w:shd w:val="clear" w:color="auto" w:fill="FEFEFE"/>
              </w:rPr>
              <w:t>В процеса на ТФО оценителите извършват оценка на следните групи критерии:</w:t>
            </w:r>
          </w:p>
          <w:p w14:paraId="72EBF385" w14:textId="77777777" w:rsidR="00B61451" w:rsidRDefault="00B61451" w:rsidP="007A16AE">
            <w:pPr>
              <w:widowControl w:val="0"/>
              <w:autoSpaceDE w:val="0"/>
              <w:autoSpaceDN w:val="0"/>
              <w:adjustRightInd w:val="0"/>
              <w:spacing w:line="276" w:lineRule="auto"/>
              <w:ind w:firstLine="482"/>
              <w:jc w:val="both"/>
              <w:rPr>
                <w:rFonts w:ascii="Times New Roman" w:hAnsi="Times New Roman" w:cs="Times New Roman"/>
                <w:b/>
                <w:sz w:val="24"/>
                <w:szCs w:val="24"/>
                <w:shd w:val="clear" w:color="auto" w:fill="FEFEFE"/>
                <w:lang w:val="en-GB"/>
              </w:rPr>
            </w:pPr>
          </w:p>
          <w:p w14:paraId="02D482C4" w14:textId="5334F6FB" w:rsidR="0031598B" w:rsidRPr="007541D6" w:rsidRDefault="0031598B" w:rsidP="007A16AE">
            <w:pPr>
              <w:widowControl w:val="0"/>
              <w:autoSpaceDE w:val="0"/>
              <w:autoSpaceDN w:val="0"/>
              <w:adjustRightInd w:val="0"/>
              <w:spacing w:line="276" w:lineRule="auto"/>
              <w:ind w:firstLine="482"/>
              <w:jc w:val="both"/>
              <w:rPr>
                <w:rFonts w:ascii="Times New Roman" w:hAnsi="Times New Roman" w:cs="Times New Roman"/>
                <w:b/>
                <w:sz w:val="24"/>
                <w:szCs w:val="24"/>
                <w:shd w:val="clear" w:color="auto" w:fill="FEFEFE"/>
              </w:rPr>
            </w:pPr>
            <w:r w:rsidRPr="007541D6">
              <w:rPr>
                <w:rFonts w:ascii="Times New Roman" w:hAnsi="Times New Roman" w:cs="Times New Roman"/>
                <w:b/>
                <w:sz w:val="24"/>
                <w:szCs w:val="24"/>
                <w:shd w:val="clear" w:color="auto" w:fill="FEFEFE"/>
              </w:rPr>
              <w:t>3.1. „Оценка на качеството на проучванията и анализите“</w:t>
            </w:r>
          </w:p>
          <w:p w14:paraId="31F3D1CD" w14:textId="1CC43ECC" w:rsidR="00CC3DA0" w:rsidRPr="00EA7053" w:rsidRDefault="00CC3DA0" w:rsidP="007A16AE">
            <w:pPr>
              <w:widowControl w:val="0"/>
              <w:autoSpaceDE w:val="0"/>
              <w:autoSpaceDN w:val="0"/>
              <w:adjustRightInd w:val="0"/>
              <w:spacing w:line="276" w:lineRule="auto"/>
              <w:ind w:firstLine="482"/>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Прави се оценка </w:t>
            </w:r>
            <w:r w:rsidR="001A21EA">
              <w:rPr>
                <w:rFonts w:ascii="Times New Roman" w:hAnsi="Times New Roman" w:cs="Times New Roman"/>
                <w:sz w:val="24"/>
                <w:szCs w:val="24"/>
                <w:shd w:val="clear" w:color="auto" w:fill="FEFEFE"/>
              </w:rPr>
              <w:t xml:space="preserve">на редица данни – демографски, институционални, природни и тяхната </w:t>
            </w:r>
            <w:proofErr w:type="spellStart"/>
            <w:r w:rsidR="001A21EA">
              <w:rPr>
                <w:rFonts w:ascii="Times New Roman" w:hAnsi="Times New Roman" w:cs="Times New Roman"/>
                <w:sz w:val="24"/>
                <w:szCs w:val="24"/>
                <w:shd w:val="clear" w:color="auto" w:fill="FEFEFE"/>
              </w:rPr>
              <w:t>релевантност</w:t>
            </w:r>
            <w:proofErr w:type="spellEnd"/>
            <w:r w:rsidR="001A21EA">
              <w:rPr>
                <w:rFonts w:ascii="Times New Roman" w:hAnsi="Times New Roman" w:cs="Times New Roman"/>
                <w:sz w:val="24"/>
                <w:szCs w:val="24"/>
                <w:shd w:val="clear" w:color="auto" w:fill="FEFEFE"/>
              </w:rPr>
              <w:t xml:space="preserve"> за </w:t>
            </w:r>
            <w:r w:rsidR="00EA7053">
              <w:rPr>
                <w:rFonts w:ascii="Times New Roman" w:hAnsi="Times New Roman" w:cs="Times New Roman"/>
                <w:sz w:val="24"/>
                <w:szCs w:val="24"/>
                <w:shd w:val="clear" w:color="auto" w:fill="FEFEFE"/>
              </w:rPr>
              <w:t>проучване</w:t>
            </w:r>
            <w:r w:rsidR="001A21EA">
              <w:rPr>
                <w:rFonts w:ascii="Times New Roman" w:hAnsi="Times New Roman" w:cs="Times New Roman"/>
                <w:sz w:val="24"/>
                <w:szCs w:val="24"/>
                <w:shd w:val="clear" w:color="auto" w:fill="FEFEFE"/>
              </w:rPr>
              <w:t xml:space="preserve"> на територията</w:t>
            </w:r>
            <w:r w:rsidR="00E2648E">
              <w:rPr>
                <w:rFonts w:ascii="Times New Roman" w:hAnsi="Times New Roman" w:cs="Times New Roman"/>
                <w:sz w:val="24"/>
                <w:szCs w:val="24"/>
                <w:shd w:val="clear" w:color="auto" w:fill="FEFEFE"/>
              </w:rPr>
              <w:t xml:space="preserve"> и </w:t>
            </w:r>
            <w:r w:rsidR="00EA7053">
              <w:rPr>
                <w:rFonts w:ascii="Times New Roman" w:hAnsi="Times New Roman" w:cs="Times New Roman"/>
                <w:sz w:val="24"/>
                <w:szCs w:val="24"/>
                <w:shd w:val="clear" w:color="auto" w:fill="FEFEFE"/>
              </w:rPr>
              <w:t xml:space="preserve">на </w:t>
            </w:r>
            <w:r w:rsidR="00944ADB">
              <w:rPr>
                <w:rFonts w:ascii="Times New Roman" w:hAnsi="Times New Roman" w:cs="Times New Roman"/>
                <w:sz w:val="24"/>
                <w:szCs w:val="24"/>
                <w:shd w:val="clear" w:color="auto" w:fill="FEFEFE"/>
              </w:rPr>
              <w:t xml:space="preserve">начина на тяхното представяне и анализиране. </w:t>
            </w:r>
            <w:r w:rsidR="001978AC">
              <w:rPr>
                <w:rFonts w:ascii="Times New Roman" w:hAnsi="Times New Roman" w:cs="Times New Roman"/>
                <w:sz w:val="24"/>
                <w:szCs w:val="24"/>
                <w:shd w:val="clear" w:color="auto" w:fill="FEFEFE"/>
              </w:rPr>
              <w:t xml:space="preserve">Оценява </w:t>
            </w:r>
            <w:r w:rsidR="00944ADB">
              <w:rPr>
                <w:rFonts w:ascii="Times New Roman" w:hAnsi="Times New Roman" w:cs="Times New Roman"/>
                <w:sz w:val="24"/>
                <w:szCs w:val="24"/>
                <w:shd w:val="clear" w:color="auto" w:fill="FEFEFE"/>
              </w:rPr>
              <w:t xml:space="preserve">се също разбирането за </w:t>
            </w:r>
            <w:r w:rsidR="00EA7053">
              <w:rPr>
                <w:rFonts w:ascii="Times New Roman" w:hAnsi="Times New Roman" w:cs="Times New Roman"/>
                <w:sz w:val="24"/>
                <w:szCs w:val="24"/>
                <w:shd w:val="clear" w:color="auto" w:fill="FEFEFE"/>
              </w:rPr>
              <w:t xml:space="preserve">силни и </w:t>
            </w:r>
            <w:r w:rsidR="00944ADB">
              <w:rPr>
                <w:rFonts w:ascii="Times New Roman" w:hAnsi="Times New Roman" w:cs="Times New Roman"/>
                <w:sz w:val="24"/>
                <w:szCs w:val="24"/>
                <w:shd w:val="clear" w:color="auto" w:fill="FEFEFE"/>
              </w:rPr>
              <w:t xml:space="preserve">слаби </w:t>
            </w:r>
            <w:r w:rsidR="00EA7053">
              <w:rPr>
                <w:rFonts w:ascii="Times New Roman" w:hAnsi="Times New Roman" w:cs="Times New Roman"/>
                <w:sz w:val="24"/>
                <w:szCs w:val="24"/>
                <w:shd w:val="clear" w:color="auto" w:fill="FEFEFE"/>
              </w:rPr>
              <w:t xml:space="preserve">страни на територията и условията за развитие </w:t>
            </w:r>
            <w:r w:rsidR="00EA7053">
              <w:rPr>
                <w:rFonts w:ascii="Times New Roman" w:hAnsi="Times New Roman" w:cs="Times New Roman"/>
                <w:sz w:val="24"/>
                <w:szCs w:val="24"/>
                <w:shd w:val="clear" w:color="auto" w:fill="FEFEFE"/>
                <w:lang w:val="en-US"/>
              </w:rPr>
              <w:t>(</w:t>
            </w:r>
            <w:r w:rsidR="00EA7053">
              <w:rPr>
                <w:rFonts w:ascii="Times New Roman" w:hAnsi="Times New Roman" w:cs="Times New Roman"/>
                <w:sz w:val="24"/>
                <w:szCs w:val="24"/>
                <w:shd w:val="clear" w:color="auto" w:fill="FEFEFE"/>
              </w:rPr>
              <w:t>вътре и извън територията</w:t>
            </w:r>
            <w:r w:rsidR="00EA7053">
              <w:rPr>
                <w:rFonts w:ascii="Times New Roman" w:hAnsi="Times New Roman" w:cs="Times New Roman"/>
                <w:sz w:val="24"/>
                <w:szCs w:val="24"/>
                <w:shd w:val="clear" w:color="auto" w:fill="FEFEFE"/>
                <w:lang w:val="en-US"/>
              </w:rPr>
              <w:t>)</w:t>
            </w:r>
            <w:r w:rsidR="00EA7053">
              <w:rPr>
                <w:rFonts w:ascii="Times New Roman" w:hAnsi="Times New Roman" w:cs="Times New Roman"/>
                <w:sz w:val="24"/>
                <w:szCs w:val="24"/>
                <w:shd w:val="clear" w:color="auto" w:fill="FEFEFE"/>
              </w:rPr>
              <w:t>, също така за потенциални и съществуващи заплахи към иденти</w:t>
            </w:r>
            <w:r w:rsidR="002812F3">
              <w:rPr>
                <w:rFonts w:ascii="Times New Roman" w:hAnsi="Times New Roman" w:cs="Times New Roman"/>
                <w:sz w:val="24"/>
                <w:szCs w:val="24"/>
                <w:shd w:val="clear" w:color="auto" w:fill="FEFEFE"/>
              </w:rPr>
              <w:t>фицираните условия за развитие. Оценява се к</w:t>
            </w:r>
            <w:r w:rsidR="002812F3" w:rsidRPr="002812F3">
              <w:rPr>
                <w:rFonts w:ascii="Times New Roman" w:hAnsi="Times New Roman" w:cs="Times New Roman"/>
                <w:sz w:val="24"/>
                <w:szCs w:val="24"/>
                <w:shd w:val="clear" w:color="auto" w:fill="FEFEFE"/>
              </w:rPr>
              <w:t>ак е представен анализът на проблемите</w:t>
            </w:r>
            <w:r w:rsidR="002812F3">
              <w:rPr>
                <w:rFonts w:ascii="Times New Roman" w:hAnsi="Times New Roman" w:cs="Times New Roman"/>
                <w:sz w:val="24"/>
                <w:szCs w:val="24"/>
                <w:shd w:val="clear" w:color="auto" w:fill="FEFEFE"/>
              </w:rPr>
              <w:t>, о</w:t>
            </w:r>
            <w:r w:rsidR="002812F3" w:rsidRPr="002812F3">
              <w:rPr>
                <w:rFonts w:ascii="Times New Roman" w:hAnsi="Times New Roman" w:cs="Times New Roman"/>
                <w:sz w:val="24"/>
                <w:szCs w:val="24"/>
                <w:shd w:val="clear" w:color="auto" w:fill="FEFEFE"/>
              </w:rPr>
              <w:t>бхванати ли са позиции и мнения на местните общности относно техните нужди и проблеми</w:t>
            </w:r>
            <w:r w:rsidR="002812F3">
              <w:rPr>
                <w:rFonts w:ascii="Times New Roman" w:hAnsi="Times New Roman" w:cs="Times New Roman"/>
                <w:sz w:val="24"/>
                <w:szCs w:val="24"/>
                <w:shd w:val="clear" w:color="auto" w:fill="FEFEFE"/>
              </w:rPr>
              <w:t xml:space="preserve">, дали </w:t>
            </w:r>
            <w:r w:rsidR="002812F3" w:rsidRPr="002812F3">
              <w:rPr>
                <w:rFonts w:ascii="Times New Roman" w:hAnsi="Times New Roman" w:cs="Times New Roman"/>
                <w:sz w:val="24"/>
                <w:szCs w:val="24"/>
                <w:shd w:val="clear" w:color="auto" w:fill="FEFEFE"/>
              </w:rPr>
              <w:t>SWOT анализа (анализ на силните и слабите страни, възможностите и заплахите) се базира на тази информацията</w:t>
            </w:r>
            <w:r w:rsidR="002812F3">
              <w:rPr>
                <w:rFonts w:ascii="Times New Roman" w:hAnsi="Times New Roman" w:cs="Times New Roman"/>
                <w:sz w:val="24"/>
                <w:szCs w:val="24"/>
                <w:shd w:val="clear" w:color="auto" w:fill="FEFEFE"/>
              </w:rPr>
              <w:t xml:space="preserve"> и п</w:t>
            </w:r>
            <w:r w:rsidR="002812F3" w:rsidRPr="002812F3">
              <w:rPr>
                <w:rFonts w:ascii="Times New Roman" w:hAnsi="Times New Roman" w:cs="Times New Roman"/>
                <w:sz w:val="24"/>
                <w:szCs w:val="24"/>
                <w:shd w:val="clear" w:color="auto" w:fill="FEFEFE"/>
              </w:rPr>
              <w:t>оказ</w:t>
            </w:r>
            <w:r w:rsidR="002812F3">
              <w:rPr>
                <w:rFonts w:ascii="Times New Roman" w:hAnsi="Times New Roman" w:cs="Times New Roman"/>
                <w:sz w:val="24"/>
                <w:szCs w:val="24"/>
                <w:shd w:val="clear" w:color="auto" w:fill="FEFEFE"/>
              </w:rPr>
              <w:t>ана ли е връзката на</w:t>
            </w:r>
            <w:r w:rsidR="002812F3" w:rsidRPr="002812F3">
              <w:rPr>
                <w:rFonts w:ascii="Times New Roman" w:hAnsi="Times New Roman" w:cs="Times New Roman"/>
                <w:sz w:val="24"/>
                <w:szCs w:val="24"/>
                <w:shd w:val="clear" w:color="auto" w:fill="FEFEFE"/>
              </w:rPr>
              <w:t xml:space="preserve"> анализ</w:t>
            </w:r>
            <w:r w:rsidR="002812F3">
              <w:rPr>
                <w:rFonts w:ascii="Times New Roman" w:hAnsi="Times New Roman" w:cs="Times New Roman"/>
                <w:sz w:val="24"/>
                <w:szCs w:val="24"/>
                <w:shd w:val="clear" w:color="auto" w:fill="FEFEFE"/>
              </w:rPr>
              <w:t>а</w:t>
            </w:r>
            <w:r w:rsidR="002812F3" w:rsidRPr="002812F3">
              <w:rPr>
                <w:rFonts w:ascii="Times New Roman" w:hAnsi="Times New Roman" w:cs="Times New Roman"/>
                <w:sz w:val="24"/>
                <w:szCs w:val="24"/>
                <w:shd w:val="clear" w:color="auto" w:fill="FEFEFE"/>
              </w:rPr>
              <w:t xml:space="preserve"> </w:t>
            </w:r>
            <w:r w:rsidR="004440A4">
              <w:rPr>
                <w:rFonts w:ascii="Times New Roman" w:hAnsi="Times New Roman" w:cs="Times New Roman"/>
                <w:sz w:val="24"/>
                <w:szCs w:val="24"/>
                <w:shd w:val="clear" w:color="auto" w:fill="FEFEFE"/>
              </w:rPr>
              <w:t>с</w:t>
            </w:r>
            <w:r w:rsidR="002812F3" w:rsidRPr="002812F3">
              <w:rPr>
                <w:rFonts w:ascii="Times New Roman" w:hAnsi="Times New Roman" w:cs="Times New Roman"/>
                <w:sz w:val="24"/>
                <w:szCs w:val="24"/>
                <w:shd w:val="clear" w:color="auto" w:fill="FEFEFE"/>
              </w:rPr>
              <w:t xml:space="preserve"> дефинираните проблеми, възможности и заплахи и формулираните цели на стратегията</w:t>
            </w:r>
            <w:r w:rsidR="002812F3">
              <w:rPr>
                <w:rFonts w:ascii="Times New Roman" w:hAnsi="Times New Roman" w:cs="Times New Roman"/>
                <w:sz w:val="24"/>
                <w:szCs w:val="24"/>
                <w:shd w:val="clear" w:color="auto" w:fill="FEFEFE"/>
              </w:rPr>
              <w:t>.</w:t>
            </w:r>
          </w:p>
          <w:p w14:paraId="06B1BFFB" w14:textId="77777777" w:rsidR="0031598B" w:rsidRDefault="0031598B" w:rsidP="0031598B">
            <w:pPr>
              <w:widowControl w:val="0"/>
              <w:autoSpaceDE w:val="0"/>
              <w:autoSpaceDN w:val="0"/>
              <w:adjustRightInd w:val="0"/>
              <w:spacing w:line="276" w:lineRule="auto"/>
              <w:ind w:firstLine="483"/>
              <w:jc w:val="both"/>
              <w:rPr>
                <w:rFonts w:ascii="Times New Roman" w:hAnsi="Times New Roman" w:cs="Times New Roman"/>
                <w:sz w:val="24"/>
                <w:szCs w:val="24"/>
                <w:shd w:val="clear" w:color="auto" w:fill="FEFEFE"/>
              </w:rPr>
            </w:pPr>
          </w:p>
          <w:p w14:paraId="07C27CD9" w14:textId="07CD98B2" w:rsidR="0031598B" w:rsidRPr="007541D6" w:rsidRDefault="0031598B" w:rsidP="007A16AE">
            <w:pPr>
              <w:widowControl w:val="0"/>
              <w:autoSpaceDE w:val="0"/>
              <w:autoSpaceDN w:val="0"/>
              <w:adjustRightInd w:val="0"/>
              <w:spacing w:line="276" w:lineRule="auto"/>
              <w:ind w:firstLine="482"/>
              <w:jc w:val="both"/>
              <w:rPr>
                <w:rFonts w:ascii="Times New Roman" w:hAnsi="Times New Roman" w:cs="Times New Roman"/>
                <w:b/>
                <w:sz w:val="24"/>
                <w:szCs w:val="24"/>
                <w:shd w:val="clear" w:color="auto" w:fill="FEFEFE"/>
              </w:rPr>
            </w:pPr>
            <w:r w:rsidRPr="007541D6">
              <w:rPr>
                <w:rFonts w:ascii="Times New Roman" w:hAnsi="Times New Roman" w:cs="Times New Roman"/>
                <w:b/>
                <w:sz w:val="24"/>
                <w:szCs w:val="24"/>
                <w:shd w:val="clear" w:color="auto" w:fill="FEFEFE"/>
              </w:rPr>
              <w:t>3.2. „Оценка на участието на местната общност в процеса на разработване и съгласуване на стратегията“</w:t>
            </w:r>
          </w:p>
          <w:p w14:paraId="75678B40" w14:textId="3D6A5EC6" w:rsidR="00DF222A" w:rsidRDefault="00DF222A" w:rsidP="007A16AE">
            <w:pPr>
              <w:widowControl w:val="0"/>
              <w:autoSpaceDE w:val="0"/>
              <w:autoSpaceDN w:val="0"/>
              <w:adjustRightInd w:val="0"/>
              <w:spacing w:line="276" w:lineRule="auto"/>
              <w:ind w:firstLine="482"/>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Прави се оценка </w:t>
            </w:r>
            <w:r w:rsidR="000E35FD" w:rsidRPr="007541D6">
              <w:rPr>
                <w:rFonts w:ascii="Times New Roman" w:hAnsi="Times New Roman" w:cs="Times New Roman"/>
                <w:sz w:val="24"/>
                <w:szCs w:val="24"/>
                <w:shd w:val="clear" w:color="auto" w:fill="FEFEFE"/>
              </w:rPr>
              <w:t>на нивото на взаимодействие в процеса на създаване на стратегията за местно развитие, комуникацията и сътрудничеството между социално-икономическите парт</w:t>
            </w:r>
            <w:r w:rsidR="00A96F0B">
              <w:rPr>
                <w:rFonts w:ascii="Times New Roman" w:hAnsi="Times New Roman" w:cs="Times New Roman"/>
                <w:sz w:val="24"/>
                <w:szCs w:val="24"/>
                <w:shd w:val="clear" w:color="auto" w:fill="FEFEFE"/>
              </w:rPr>
              <w:t>н</w:t>
            </w:r>
            <w:r w:rsidR="000E35FD" w:rsidRPr="007541D6">
              <w:rPr>
                <w:rFonts w:ascii="Times New Roman" w:hAnsi="Times New Roman" w:cs="Times New Roman"/>
                <w:sz w:val="24"/>
                <w:szCs w:val="24"/>
                <w:shd w:val="clear" w:color="auto" w:fill="FEFEFE"/>
              </w:rPr>
              <w:t>ьори</w:t>
            </w:r>
            <w:r w:rsidR="00A96F0B">
              <w:rPr>
                <w:rFonts w:ascii="Times New Roman" w:hAnsi="Times New Roman" w:cs="Times New Roman"/>
                <w:sz w:val="24"/>
                <w:szCs w:val="24"/>
                <w:shd w:val="clear" w:color="auto" w:fill="FEFEFE"/>
              </w:rPr>
              <w:t xml:space="preserve"> </w:t>
            </w:r>
            <w:r w:rsidR="000E35FD" w:rsidRPr="007541D6">
              <w:rPr>
                <w:rFonts w:ascii="Times New Roman" w:hAnsi="Times New Roman" w:cs="Times New Roman"/>
                <w:sz w:val="24"/>
                <w:szCs w:val="24"/>
                <w:shd w:val="clear" w:color="auto" w:fill="FEFEFE"/>
              </w:rPr>
              <w:t xml:space="preserve">- публичния, частния и </w:t>
            </w:r>
            <w:r w:rsidR="00A96F0B">
              <w:rPr>
                <w:rFonts w:ascii="Times New Roman" w:hAnsi="Times New Roman" w:cs="Times New Roman"/>
                <w:sz w:val="24"/>
                <w:szCs w:val="24"/>
                <w:shd w:val="clear" w:color="auto" w:fill="FEFEFE"/>
              </w:rPr>
              <w:t>неправителствения</w:t>
            </w:r>
            <w:r w:rsidR="000E35FD" w:rsidRPr="007541D6">
              <w:rPr>
                <w:rFonts w:ascii="Times New Roman" w:hAnsi="Times New Roman" w:cs="Times New Roman"/>
                <w:sz w:val="24"/>
                <w:szCs w:val="24"/>
                <w:shd w:val="clear" w:color="auto" w:fill="FEFEFE"/>
              </w:rPr>
              <w:t xml:space="preserve"> сектор, методологии</w:t>
            </w:r>
            <w:r w:rsidR="00A96F0B">
              <w:rPr>
                <w:rFonts w:ascii="Times New Roman" w:hAnsi="Times New Roman" w:cs="Times New Roman"/>
                <w:sz w:val="24"/>
                <w:szCs w:val="24"/>
                <w:shd w:val="clear" w:color="auto" w:fill="FEFEFE"/>
              </w:rPr>
              <w:t>те</w:t>
            </w:r>
            <w:r w:rsidR="000E35FD" w:rsidRPr="007541D6">
              <w:rPr>
                <w:rFonts w:ascii="Times New Roman" w:hAnsi="Times New Roman" w:cs="Times New Roman"/>
                <w:sz w:val="24"/>
                <w:szCs w:val="24"/>
                <w:shd w:val="clear" w:color="auto" w:fill="FEFEFE"/>
              </w:rPr>
              <w:t xml:space="preserve"> и инструменти, които са били използвани при разработван</w:t>
            </w:r>
            <w:r w:rsidR="00A96F0B">
              <w:rPr>
                <w:rFonts w:ascii="Times New Roman" w:hAnsi="Times New Roman" w:cs="Times New Roman"/>
                <w:sz w:val="24"/>
                <w:szCs w:val="24"/>
                <w:shd w:val="clear" w:color="auto" w:fill="FEFEFE"/>
              </w:rPr>
              <w:t>е</w:t>
            </w:r>
            <w:r w:rsidR="000E35FD" w:rsidRPr="007541D6">
              <w:rPr>
                <w:rFonts w:ascii="Times New Roman" w:hAnsi="Times New Roman" w:cs="Times New Roman"/>
                <w:sz w:val="24"/>
                <w:szCs w:val="24"/>
                <w:shd w:val="clear" w:color="auto" w:fill="FEFEFE"/>
              </w:rPr>
              <w:t>то на стратегията и до каква степен гражданите на територията са взели участие при събиране и обработване на данните, SWOT и други анализи, стратегически решения, намеса при вземане на финансови решения, при създаване на рамката за изпълнение, нивото на обсег на гражданите и тяхното участие в процеса, както и до каква степен е бил спазен принципа „отдолу- нагоре”.</w:t>
            </w:r>
          </w:p>
          <w:p w14:paraId="6CFEE8C0" w14:textId="77777777" w:rsidR="0031598B" w:rsidRDefault="0031598B" w:rsidP="0031598B">
            <w:pPr>
              <w:widowControl w:val="0"/>
              <w:autoSpaceDE w:val="0"/>
              <w:autoSpaceDN w:val="0"/>
              <w:adjustRightInd w:val="0"/>
              <w:spacing w:line="276" w:lineRule="auto"/>
              <w:ind w:firstLine="483"/>
              <w:jc w:val="both"/>
              <w:rPr>
                <w:rFonts w:ascii="Times New Roman" w:hAnsi="Times New Roman" w:cs="Times New Roman"/>
                <w:sz w:val="24"/>
                <w:szCs w:val="24"/>
                <w:shd w:val="clear" w:color="auto" w:fill="FEFEFE"/>
              </w:rPr>
            </w:pPr>
          </w:p>
          <w:p w14:paraId="2AAC159F" w14:textId="77777777" w:rsidR="0031598B" w:rsidRPr="007541D6" w:rsidRDefault="0031598B" w:rsidP="007A16AE">
            <w:pPr>
              <w:widowControl w:val="0"/>
              <w:autoSpaceDE w:val="0"/>
              <w:autoSpaceDN w:val="0"/>
              <w:adjustRightInd w:val="0"/>
              <w:spacing w:line="276" w:lineRule="auto"/>
              <w:ind w:firstLine="482"/>
              <w:jc w:val="both"/>
              <w:rPr>
                <w:rFonts w:ascii="Times New Roman" w:hAnsi="Times New Roman" w:cs="Times New Roman"/>
                <w:b/>
                <w:sz w:val="24"/>
                <w:szCs w:val="24"/>
                <w:shd w:val="clear" w:color="auto" w:fill="FEFEFE"/>
              </w:rPr>
            </w:pPr>
            <w:r w:rsidRPr="007541D6">
              <w:rPr>
                <w:rFonts w:ascii="Times New Roman" w:hAnsi="Times New Roman" w:cs="Times New Roman"/>
                <w:b/>
                <w:sz w:val="24"/>
                <w:szCs w:val="24"/>
                <w:shd w:val="clear" w:color="auto" w:fill="FEFEFE"/>
              </w:rPr>
              <w:t>3.</w:t>
            </w:r>
            <w:proofErr w:type="spellStart"/>
            <w:r w:rsidRPr="007541D6">
              <w:rPr>
                <w:rFonts w:ascii="Times New Roman" w:hAnsi="Times New Roman" w:cs="Times New Roman"/>
                <w:b/>
                <w:sz w:val="24"/>
                <w:szCs w:val="24"/>
                <w:shd w:val="clear" w:color="auto" w:fill="FEFEFE"/>
              </w:rPr>
              <w:t>3</w:t>
            </w:r>
            <w:proofErr w:type="spellEnd"/>
            <w:r w:rsidRPr="007541D6">
              <w:rPr>
                <w:rFonts w:ascii="Times New Roman" w:hAnsi="Times New Roman" w:cs="Times New Roman"/>
                <w:b/>
                <w:sz w:val="24"/>
                <w:szCs w:val="24"/>
                <w:shd w:val="clear" w:color="auto" w:fill="FEFEFE"/>
              </w:rPr>
              <w:t>. „Съответствие на избраните цели на стратегията с потенциала за развитие на територията и идентифицираните потребности“</w:t>
            </w:r>
          </w:p>
          <w:p w14:paraId="68927DE3" w14:textId="790462AD" w:rsidR="00416DCE" w:rsidRDefault="00416DCE" w:rsidP="007A16AE">
            <w:pPr>
              <w:widowControl w:val="0"/>
              <w:autoSpaceDE w:val="0"/>
              <w:autoSpaceDN w:val="0"/>
              <w:adjustRightInd w:val="0"/>
              <w:spacing w:line="276" w:lineRule="auto"/>
              <w:ind w:firstLine="482"/>
              <w:jc w:val="both"/>
              <w:rPr>
                <w:rFonts w:ascii="Times New Roman" w:hAnsi="Times New Roman" w:cs="Times New Roman"/>
                <w:sz w:val="24"/>
                <w:szCs w:val="24"/>
                <w:shd w:val="clear" w:color="auto" w:fill="FEFEFE"/>
              </w:rPr>
            </w:pPr>
            <w:r w:rsidRPr="00416DCE">
              <w:rPr>
                <w:rFonts w:ascii="Times New Roman" w:hAnsi="Times New Roman" w:cs="Times New Roman"/>
                <w:sz w:val="24"/>
                <w:szCs w:val="24"/>
                <w:shd w:val="clear" w:color="auto" w:fill="FEFEFE"/>
              </w:rPr>
              <w:t>Трябва да се оцени способността да се формулират цели, които да бъдат съизмерими, реалистични и ориентирани във времето</w:t>
            </w:r>
            <w:r w:rsidR="00126BEC">
              <w:rPr>
                <w:rFonts w:ascii="Times New Roman" w:hAnsi="Times New Roman" w:cs="Times New Roman"/>
                <w:sz w:val="24"/>
                <w:szCs w:val="24"/>
                <w:shd w:val="clear" w:color="auto" w:fill="FEFEFE"/>
              </w:rPr>
              <w:t>,</w:t>
            </w:r>
            <w:r w:rsidRPr="00416DCE">
              <w:rPr>
                <w:rFonts w:ascii="Times New Roman" w:hAnsi="Times New Roman" w:cs="Times New Roman"/>
                <w:sz w:val="24"/>
                <w:szCs w:val="24"/>
                <w:shd w:val="clear" w:color="auto" w:fill="FEFEFE"/>
              </w:rPr>
              <w:t xml:space="preserve"> и които да бъдат свързани с идентифицираните </w:t>
            </w:r>
            <w:r w:rsidR="00126BEC">
              <w:rPr>
                <w:rFonts w:ascii="Times New Roman" w:hAnsi="Times New Roman" w:cs="Times New Roman"/>
                <w:sz w:val="24"/>
                <w:szCs w:val="24"/>
                <w:shd w:val="clear" w:color="auto" w:fill="FEFEFE"/>
              </w:rPr>
              <w:t>основни</w:t>
            </w:r>
            <w:r w:rsidRPr="00416DCE">
              <w:rPr>
                <w:rFonts w:ascii="Times New Roman" w:hAnsi="Times New Roman" w:cs="Times New Roman"/>
                <w:sz w:val="24"/>
                <w:szCs w:val="24"/>
                <w:shd w:val="clear" w:color="auto" w:fill="FEFEFE"/>
              </w:rPr>
              <w:t xml:space="preserve"> проблеми на територията.</w:t>
            </w:r>
            <w:r>
              <w:rPr>
                <w:rFonts w:ascii="Times New Roman" w:hAnsi="Times New Roman" w:cs="Times New Roman"/>
                <w:sz w:val="24"/>
                <w:szCs w:val="24"/>
                <w:shd w:val="clear" w:color="auto" w:fill="FEFEFE"/>
              </w:rPr>
              <w:t xml:space="preserve"> </w:t>
            </w:r>
            <w:r w:rsidR="00126BEC">
              <w:rPr>
                <w:rFonts w:ascii="Times New Roman" w:hAnsi="Times New Roman" w:cs="Times New Roman"/>
                <w:sz w:val="24"/>
                <w:szCs w:val="24"/>
                <w:shd w:val="clear" w:color="auto" w:fill="FEFEFE"/>
              </w:rPr>
              <w:t xml:space="preserve">Съответствието на избраните цели с потенциала на </w:t>
            </w:r>
            <w:r w:rsidR="00126BEC">
              <w:rPr>
                <w:rFonts w:ascii="Times New Roman" w:hAnsi="Times New Roman" w:cs="Times New Roman"/>
                <w:sz w:val="24"/>
                <w:szCs w:val="24"/>
                <w:shd w:val="clear" w:color="auto" w:fill="FEFEFE"/>
              </w:rPr>
              <w:lastRenderedPageBreak/>
              <w:t xml:space="preserve">територията следва да </w:t>
            </w:r>
            <w:r w:rsidRPr="00416DCE">
              <w:rPr>
                <w:rFonts w:ascii="Times New Roman" w:hAnsi="Times New Roman" w:cs="Times New Roman"/>
                <w:sz w:val="24"/>
                <w:szCs w:val="24"/>
                <w:shd w:val="clear" w:color="auto" w:fill="FEFEFE"/>
              </w:rPr>
              <w:t>предопредел</w:t>
            </w:r>
            <w:r w:rsidR="00126BEC">
              <w:rPr>
                <w:rFonts w:ascii="Times New Roman" w:hAnsi="Times New Roman" w:cs="Times New Roman"/>
                <w:sz w:val="24"/>
                <w:szCs w:val="24"/>
                <w:shd w:val="clear" w:color="auto" w:fill="FEFEFE"/>
              </w:rPr>
              <w:t>и</w:t>
            </w:r>
            <w:r w:rsidRPr="00416DCE">
              <w:rPr>
                <w:rFonts w:ascii="Times New Roman" w:hAnsi="Times New Roman" w:cs="Times New Roman"/>
                <w:sz w:val="24"/>
                <w:szCs w:val="24"/>
                <w:shd w:val="clear" w:color="auto" w:fill="FEFEFE"/>
              </w:rPr>
              <w:t xml:space="preserve"> очакваните качествени промени в дадени сектори/ приоритети (специфични цели) и други дългоср</w:t>
            </w:r>
            <w:r w:rsidR="00126BEC">
              <w:rPr>
                <w:rFonts w:ascii="Times New Roman" w:hAnsi="Times New Roman" w:cs="Times New Roman"/>
                <w:sz w:val="24"/>
                <w:szCs w:val="24"/>
                <w:shd w:val="clear" w:color="auto" w:fill="FEFEFE"/>
              </w:rPr>
              <w:t>о</w:t>
            </w:r>
            <w:r w:rsidRPr="00416DCE">
              <w:rPr>
                <w:rFonts w:ascii="Times New Roman" w:hAnsi="Times New Roman" w:cs="Times New Roman"/>
                <w:sz w:val="24"/>
                <w:szCs w:val="24"/>
                <w:shd w:val="clear" w:color="auto" w:fill="FEFEFE"/>
              </w:rPr>
              <w:t>чни качествени промени.</w:t>
            </w:r>
            <w:r>
              <w:rPr>
                <w:rFonts w:ascii="Times New Roman" w:hAnsi="Times New Roman" w:cs="Times New Roman"/>
                <w:sz w:val="24"/>
                <w:szCs w:val="24"/>
                <w:shd w:val="clear" w:color="auto" w:fill="FEFEFE"/>
              </w:rPr>
              <w:t xml:space="preserve"> </w:t>
            </w:r>
          </w:p>
          <w:p w14:paraId="776A79FF" w14:textId="77777777" w:rsidR="00416DCE" w:rsidRDefault="00416DCE" w:rsidP="0031598B">
            <w:pPr>
              <w:widowControl w:val="0"/>
              <w:autoSpaceDE w:val="0"/>
              <w:autoSpaceDN w:val="0"/>
              <w:adjustRightInd w:val="0"/>
              <w:spacing w:line="276" w:lineRule="auto"/>
              <w:ind w:firstLine="483"/>
              <w:jc w:val="both"/>
              <w:rPr>
                <w:rFonts w:ascii="Times New Roman" w:hAnsi="Times New Roman" w:cs="Times New Roman"/>
                <w:sz w:val="24"/>
                <w:szCs w:val="24"/>
                <w:shd w:val="clear" w:color="auto" w:fill="FEFEFE"/>
              </w:rPr>
            </w:pPr>
          </w:p>
          <w:p w14:paraId="3084045B" w14:textId="15D71C2C" w:rsidR="0031598B" w:rsidRPr="007541D6" w:rsidRDefault="0031598B" w:rsidP="007A16AE">
            <w:pPr>
              <w:widowControl w:val="0"/>
              <w:autoSpaceDE w:val="0"/>
              <w:autoSpaceDN w:val="0"/>
              <w:adjustRightInd w:val="0"/>
              <w:spacing w:line="276" w:lineRule="auto"/>
              <w:ind w:firstLine="482"/>
              <w:jc w:val="both"/>
              <w:rPr>
                <w:rFonts w:ascii="Times New Roman" w:hAnsi="Times New Roman" w:cs="Times New Roman"/>
                <w:b/>
                <w:sz w:val="24"/>
                <w:szCs w:val="24"/>
                <w:shd w:val="clear" w:color="auto" w:fill="FEFEFE"/>
              </w:rPr>
            </w:pPr>
            <w:r w:rsidRPr="007541D6">
              <w:rPr>
                <w:rFonts w:ascii="Times New Roman" w:hAnsi="Times New Roman" w:cs="Times New Roman"/>
                <w:b/>
                <w:sz w:val="24"/>
                <w:szCs w:val="24"/>
                <w:shd w:val="clear" w:color="auto" w:fill="FEFEFE"/>
              </w:rPr>
              <w:t xml:space="preserve">3.4. „Съответствие на избраните мерки с целите на стратегията и потребностите и потенциала на територията съгласно </w:t>
            </w:r>
            <w:r w:rsidRPr="007541D6">
              <w:rPr>
                <w:rFonts w:ascii="Times New Roman" w:hAnsi="Times New Roman" w:cs="Times New Roman"/>
                <w:b/>
                <w:sz w:val="24"/>
                <w:szCs w:val="24"/>
                <w:shd w:val="clear" w:color="auto" w:fill="FEFEFE"/>
                <w:lang w:val="en-US"/>
              </w:rPr>
              <w:t xml:space="preserve">SWOT </w:t>
            </w:r>
            <w:r w:rsidRPr="007541D6">
              <w:rPr>
                <w:rFonts w:ascii="Times New Roman" w:hAnsi="Times New Roman" w:cs="Times New Roman"/>
                <w:b/>
                <w:sz w:val="24"/>
                <w:szCs w:val="24"/>
                <w:shd w:val="clear" w:color="auto" w:fill="FEFEFE"/>
              </w:rPr>
              <w:t>анализа“</w:t>
            </w:r>
          </w:p>
          <w:p w14:paraId="78607F53" w14:textId="6923CA1B" w:rsidR="00416DCE" w:rsidRPr="00104FC7" w:rsidRDefault="00104FC7" w:rsidP="007A16AE">
            <w:pPr>
              <w:widowControl w:val="0"/>
              <w:autoSpaceDE w:val="0"/>
              <w:autoSpaceDN w:val="0"/>
              <w:adjustRightInd w:val="0"/>
              <w:spacing w:line="276" w:lineRule="auto"/>
              <w:ind w:firstLine="482"/>
              <w:jc w:val="both"/>
              <w:rPr>
                <w:rFonts w:ascii="Times New Roman" w:hAnsi="Times New Roman" w:cs="Times New Roman"/>
                <w:sz w:val="24"/>
                <w:szCs w:val="24"/>
                <w:shd w:val="clear" w:color="auto" w:fill="FEFEFE"/>
              </w:rPr>
            </w:pPr>
            <w:r w:rsidRPr="007541D6">
              <w:rPr>
                <w:rFonts w:ascii="Times New Roman" w:hAnsi="Times New Roman" w:cs="Times New Roman"/>
                <w:sz w:val="24"/>
                <w:szCs w:val="24"/>
                <w:shd w:val="clear" w:color="auto" w:fill="FEFEFE"/>
              </w:rPr>
              <w:t xml:space="preserve">Оценка на цялата стратегическа логика, главно как и до каква степен планираните </w:t>
            </w:r>
            <w:r w:rsidR="00E65A20">
              <w:rPr>
                <w:rFonts w:ascii="Times New Roman" w:hAnsi="Times New Roman" w:cs="Times New Roman"/>
                <w:sz w:val="24"/>
                <w:szCs w:val="24"/>
                <w:shd w:val="clear" w:color="auto" w:fill="FEFEFE"/>
              </w:rPr>
              <w:t xml:space="preserve">мерки и </w:t>
            </w:r>
            <w:r w:rsidRPr="007541D6">
              <w:rPr>
                <w:rFonts w:ascii="Times New Roman" w:hAnsi="Times New Roman" w:cs="Times New Roman"/>
                <w:sz w:val="24"/>
                <w:szCs w:val="24"/>
                <w:shd w:val="clear" w:color="auto" w:fill="FEFEFE"/>
              </w:rPr>
              <w:t>дейности ще допринесат към постигането на всички цели.</w:t>
            </w:r>
            <w:r>
              <w:rPr>
                <w:rFonts w:ascii="Times New Roman" w:hAnsi="Times New Roman" w:cs="Times New Roman"/>
                <w:sz w:val="24"/>
                <w:szCs w:val="24"/>
                <w:shd w:val="clear" w:color="auto" w:fill="FEFEFE"/>
              </w:rPr>
              <w:t xml:space="preserve"> </w:t>
            </w:r>
            <w:r w:rsidR="00E65A20">
              <w:rPr>
                <w:rFonts w:ascii="Times New Roman" w:hAnsi="Times New Roman" w:cs="Times New Roman"/>
                <w:sz w:val="24"/>
                <w:szCs w:val="24"/>
                <w:shd w:val="clear" w:color="auto" w:fill="FEFEFE"/>
              </w:rPr>
              <w:t>Прави се о</w:t>
            </w:r>
            <w:r w:rsidRPr="007541D6">
              <w:rPr>
                <w:rFonts w:ascii="Times New Roman" w:hAnsi="Times New Roman" w:cs="Times New Roman"/>
                <w:sz w:val="24"/>
                <w:szCs w:val="24"/>
                <w:shd w:val="clear" w:color="auto" w:fill="FEFEFE"/>
              </w:rPr>
              <w:t xml:space="preserve">ценка на способността да се </w:t>
            </w:r>
            <w:r w:rsidR="00E65A20">
              <w:rPr>
                <w:rFonts w:ascii="Times New Roman" w:hAnsi="Times New Roman" w:cs="Times New Roman"/>
                <w:sz w:val="24"/>
                <w:szCs w:val="24"/>
                <w:shd w:val="clear" w:color="auto" w:fill="FEFEFE"/>
              </w:rPr>
              <w:t>реализират съответните</w:t>
            </w:r>
            <w:r w:rsidRPr="007541D6">
              <w:rPr>
                <w:rFonts w:ascii="Times New Roman" w:hAnsi="Times New Roman" w:cs="Times New Roman"/>
                <w:sz w:val="24"/>
                <w:szCs w:val="24"/>
                <w:shd w:val="clear" w:color="auto" w:fill="FEFEFE"/>
              </w:rPr>
              <w:t xml:space="preserve"> мерки и дейности, които ще подпомогнат постигането на </w:t>
            </w:r>
            <w:r w:rsidR="007A4873">
              <w:rPr>
                <w:rFonts w:ascii="Times New Roman" w:hAnsi="Times New Roman" w:cs="Times New Roman"/>
                <w:sz w:val="24"/>
                <w:szCs w:val="24"/>
                <w:shd w:val="clear" w:color="auto" w:fill="FEFEFE"/>
              </w:rPr>
              <w:t>с</w:t>
            </w:r>
            <w:r w:rsidR="007A4873" w:rsidRPr="00F40A2A">
              <w:rPr>
                <w:rFonts w:ascii="Times New Roman" w:hAnsi="Times New Roman" w:cs="Times New Roman"/>
                <w:sz w:val="24"/>
                <w:szCs w:val="24"/>
                <w:shd w:val="clear" w:color="auto" w:fill="FEFEFE"/>
              </w:rPr>
              <w:t>тратегически</w:t>
            </w:r>
            <w:r w:rsidR="007A4873">
              <w:rPr>
                <w:rFonts w:ascii="Times New Roman" w:hAnsi="Times New Roman" w:cs="Times New Roman"/>
                <w:sz w:val="24"/>
                <w:szCs w:val="24"/>
                <w:shd w:val="clear" w:color="auto" w:fill="FEFEFE"/>
              </w:rPr>
              <w:t xml:space="preserve"> и </w:t>
            </w:r>
            <w:r w:rsidRPr="007541D6">
              <w:rPr>
                <w:rFonts w:ascii="Times New Roman" w:hAnsi="Times New Roman" w:cs="Times New Roman"/>
                <w:sz w:val="24"/>
                <w:szCs w:val="24"/>
                <w:shd w:val="clear" w:color="auto" w:fill="FEFEFE"/>
              </w:rPr>
              <w:t xml:space="preserve">специфични цели и ще допринесат за предприемане на </w:t>
            </w:r>
            <w:r w:rsidR="007A4873">
              <w:rPr>
                <w:rFonts w:ascii="Times New Roman" w:hAnsi="Times New Roman" w:cs="Times New Roman"/>
                <w:sz w:val="24"/>
                <w:szCs w:val="24"/>
                <w:shd w:val="clear" w:color="auto" w:fill="FEFEFE"/>
              </w:rPr>
              <w:t>необходимите</w:t>
            </w:r>
            <w:r w:rsidR="007A4873" w:rsidRPr="007A4873">
              <w:rPr>
                <w:rFonts w:ascii="Times New Roman" w:hAnsi="Times New Roman" w:cs="Times New Roman"/>
                <w:sz w:val="24"/>
                <w:szCs w:val="24"/>
                <w:shd w:val="clear" w:color="auto" w:fill="FEFEFE"/>
              </w:rPr>
              <w:t xml:space="preserve"> промени на</w:t>
            </w:r>
            <w:r w:rsidRPr="007541D6">
              <w:rPr>
                <w:rFonts w:ascii="Times New Roman" w:hAnsi="Times New Roman" w:cs="Times New Roman"/>
                <w:sz w:val="24"/>
                <w:szCs w:val="24"/>
                <w:shd w:val="clear" w:color="auto" w:fill="FEFEFE"/>
              </w:rPr>
              <w:t xml:space="preserve"> територията и ще подпомогнат изпълнението на </w:t>
            </w:r>
            <w:r w:rsidR="00147BDD">
              <w:rPr>
                <w:rFonts w:ascii="Times New Roman" w:hAnsi="Times New Roman" w:cs="Times New Roman"/>
                <w:sz w:val="24"/>
                <w:szCs w:val="24"/>
                <w:shd w:val="clear" w:color="auto" w:fill="FEFEFE"/>
              </w:rPr>
              <w:t xml:space="preserve">стратегията за </w:t>
            </w:r>
            <w:r w:rsidR="00E65A20">
              <w:rPr>
                <w:rFonts w:ascii="Times New Roman" w:hAnsi="Times New Roman" w:cs="Times New Roman"/>
                <w:sz w:val="24"/>
                <w:szCs w:val="24"/>
                <w:shd w:val="clear" w:color="auto" w:fill="FEFEFE"/>
              </w:rPr>
              <w:t>ВОМР</w:t>
            </w:r>
            <w:r w:rsidRPr="007541D6">
              <w:rPr>
                <w:rFonts w:ascii="Times New Roman" w:hAnsi="Times New Roman" w:cs="Times New Roman"/>
                <w:sz w:val="24"/>
                <w:szCs w:val="24"/>
                <w:shd w:val="clear" w:color="auto" w:fill="FEFEFE"/>
              </w:rPr>
              <w:t>.</w:t>
            </w:r>
          </w:p>
          <w:p w14:paraId="35EC5821" w14:textId="77777777" w:rsidR="00416DCE" w:rsidRDefault="00416DCE" w:rsidP="0031598B">
            <w:pPr>
              <w:widowControl w:val="0"/>
              <w:autoSpaceDE w:val="0"/>
              <w:autoSpaceDN w:val="0"/>
              <w:adjustRightInd w:val="0"/>
              <w:spacing w:line="276" w:lineRule="auto"/>
              <w:ind w:firstLine="483"/>
              <w:jc w:val="both"/>
              <w:rPr>
                <w:rFonts w:ascii="Times New Roman" w:hAnsi="Times New Roman" w:cs="Times New Roman"/>
                <w:sz w:val="24"/>
                <w:szCs w:val="24"/>
                <w:shd w:val="clear" w:color="auto" w:fill="FEFEFE"/>
              </w:rPr>
            </w:pPr>
          </w:p>
          <w:p w14:paraId="6C403836" w14:textId="77777777" w:rsidR="0031598B" w:rsidRPr="007541D6" w:rsidRDefault="0031598B" w:rsidP="007A16AE">
            <w:pPr>
              <w:widowControl w:val="0"/>
              <w:autoSpaceDE w:val="0"/>
              <w:autoSpaceDN w:val="0"/>
              <w:adjustRightInd w:val="0"/>
              <w:spacing w:line="276" w:lineRule="auto"/>
              <w:ind w:firstLine="482"/>
              <w:jc w:val="both"/>
              <w:rPr>
                <w:rFonts w:ascii="Times New Roman" w:hAnsi="Times New Roman" w:cs="Times New Roman"/>
                <w:b/>
                <w:sz w:val="24"/>
                <w:szCs w:val="24"/>
                <w:shd w:val="clear" w:color="auto" w:fill="FEFEFE"/>
              </w:rPr>
            </w:pPr>
            <w:r w:rsidRPr="007541D6">
              <w:rPr>
                <w:rFonts w:ascii="Times New Roman" w:hAnsi="Times New Roman" w:cs="Times New Roman"/>
                <w:b/>
                <w:sz w:val="24"/>
                <w:szCs w:val="24"/>
                <w:shd w:val="clear" w:color="auto" w:fill="FEFEFE"/>
              </w:rPr>
              <w:t>3.5. „Съответствие на финансовия план на стратегията с целите и мерките спрямо идентифицираните потребности и потенциала на територията“</w:t>
            </w:r>
          </w:p>
          <w:p w14:paraId="70642A90" w14:textId="6CDB340F" w:rsidR="0031598B" w:rsidRPr="00EF7B2C" w:rsidRDefault="00EF7B2C" w:rsidP="0031598B">
            <w:pPr>
              <w:widowControl w:val="0"/>
              <w:autoSpaceDE w:val="0"/>
              <w:autoSpaceDN w:val="0"/>
              <w:adjustRightInd w:val="0"/>
              <w:spacing w:line="276" w:lineRule="auto"/>
              <w:ind w:firstLine="483"/>
              <w:jc w:val="both"/>
              <w:rPr>
                <w:rFonts w:ascii="Times New Roman" w:hAnsi="Times New Roman" w:cs="Times New Roman"/>
                <w:sz w:val="24"/>
                <w:szCs w:val="24"/>
                <w:shd w:val="clear" w:color="auto" w:fill="FEFEFE"/>
              </w:rPr>
            </w:pPr>
            <w:r>
              <w:rPr>
                <w:rFonts w:ascii="Times New Roman" w:eastAsia="Times New Roman" w:hAnsi="Times New Roman" w:cs="Times New Roman"/>
                <w:color w:val="000000"/>
                <w:sz w:val="24"/>
                <w:szCs w:val="24"/>
              </w:rPr>
              <w:t>Прави се о</w:t>
            </w:r>
            <w:r w:rsidRPr="007541D6">
              <w:rPr>
                <w:rFonts w:ascii="Times New Roman" w:eastAsia="Times New Roman" w:hAnsi="Times New Roman" w:cs="Times New Roman"/>
                <w:color w:val="000000"/>
                <w:sz w:val="24"/>
                <w:szCs w:val="24"/>
              </w:rPr>
              <w:t xml:space="preserve">ценка на способността да се </w:t>
            </w:r>
            <w:r>
              <w:rPr>
                <w:rFonts w:ascii="Times New Roman" w:eastAsia="Times New Roman" w:hAnsi="Times New Roman" w:cs="Times New Roman"/>
                <w:color w:val="000000"/>
                <w:sz w:val="24"/>
                <w:szCs w:val="24"/>
              </w:rPr>
              <w:t xml:space="preserve">обвържат </w:t>
            </w:r>
            <w:r w:rsidRPr="007541D6">
              <w:rPr>
                <w:rFonts w:ascii="Times New Roman" w:eastAsia="Times New Roman" w:hAnsi="Times New Roman" w:cs="Times New Roman"/>
                <w:color w:val="000000"/>
                <w:sz w:val="24"/>
                <w:szCs w:val="24"/>
              </w:rPr>
              <w:t>финансови</w:t>
            </w:r>
            <w:r>
              <w:rPr>
                <w:rFonts w:ascii="Times New Roman" w:eastAsia="Times New Roman" w:hAnsi="Times New Roman" w:cs="Times New Roman"/>
                <w:color w:val="000000"/>
                <w:sz w:val="24"/>
                <w:szCs w:val="24"/>
              </w:rPr>
              <w:t>те параметри по мерките от стратегията за ВОМР,</w:t>
            </w:r>
            <w:r w:rsidRPr="007541D6">
              <w:rPr>
                <w:rFonts w:ascii="Times New Roman" w:eastAsia="Times New Roman" w:hAnsi="Times New Roman" w:cs="Times New Roman"/>
                <w:color w:val="000000"/>
                <w:sz w:val="24"/>
                <w:szCs w:val="24"/>
              </w:rPr>
              <w:t xml:space="preserve"> пропорционалност</w:t>
            </w:r>
            <w:r>
              <w:rPr>
                <w:rFonts w:ascii="Times New Roman" w:eastAsia="Times New Roman" w:hAnsi="Times New Roman" w:cs="Times New Roman"/>
                <w:color w:val="000000"/>
                <w:sz w:val="24"/>
                <w:szCs w:val="24"/>
              </w:rPr>
              <w:t>та</w:t>
            </w:r>
            <w:r w:rsidRPr="007541D6">
              <w:rPr>
                <w:rFonts w:ascii="Times New Roman" w:eastAsia="Times New Roman" w:hAnsi="Times New Roman" w:cs="Times New Roman"/>
                <w:color w:val="000000"/>
                <w:sz w:val="24"/>
                <w:szCs w:val="24"/>
              </w:rPr>
              <w:t xml:space="preserve"> между </w:t>
            </w:r>
            <w:r w:rsidR="006170DA">
              <w:rPr>
                <w:rFonts w:ascii="Times New Roman" w:eastAsia="Times New Roman" w:hAnsi="Times New Roman" w:cs="Times New Roman"/>
                <w:color w:val="000000"/>
                <w:sz w:val="24"/>
                <w:szCs w:val="24"/>
              </w:rPr>
              <w:t xml:space="preserve">избраните </w:t>
            </w:r>
            <w:r w:rsidRPr="007541D6">
              <w:rPr>
                <w:rFonts w:ascii="Times New Roman" w:eastAsia="Times New Roman" w:hAnsi="Times New Roman" w:cs="Times New Roman"/>
                <w:color w:val="000000"/>
                <w:sz w:val="24"/>
                <w:szCs w:val="24"/>
              </w:rPr>
              <w:t>цели и мерки, разпределение</w:t>
            </w:r>
            <w:r>
              <w:rPr>
                <w:rFonts w:ascii="Times New Roman" w:eastAsia="Times New Roman" w:hAnsi="Times New Roman" w:cs="Times New Roman"/>
                <w:color w:val="000000"/>
                <w:sz w:val="24"/>
                <w:szCs w:val="24"/>
              </w:rPr>
              <w:t>то</w:t>
            </w:r>
            <w:r w:rsidRPr="007541D6">
              <w:rPr>
                <w:rFonts w:ascii="Times New Roman" w:eastAsia="Times New Roman" w:hAnsi="Times New Roman" w:cs="Times New Roman"/>
                <w:color w:val="000000"/>
                <w:sz w:val="24"/>
                <w:szCs w:val="24"/>
              </w:rPr>
              <w:t xml:space="preserve"> на </w:t>
            </w:r>
            <w:r>
              <w:rPr>
                <w:rFonts w:ascii="Times New Roman" w:eastAsia="Times New Roman" w:hAnsi="Times New Roman" w:cs="Times New Roman"/>
                <w:color w:val="000000"/>
                <w:sz w:val="24"/>
                <w:szCs w:val="24"/>
              </w:rPr>
              <w:t>средствата</w:t>
            </w:r>
            <w:r w:rsidRPr="007541D6">
              <w:rPr>
                <w:rFonts w:ascii="Times New Roman" w:eastAsia="Times New Roman" w:hAnsi="Times New Roman" w:cs="Times New Roman"/>
                <w:color w:val="000000"/>
                <w:sz w:val="24"/>
                <w:szCs w:val="24"/>
              </w:rPr>
              <w:t xml:space="preserve"> измежду </w:t>
            </w:r>
            <w:r w:rsidR="006170DA">
              <w:rPr>
                <w:rFonts w:ascii="Times New Roman" w:eastAsia="Times New Roman" w:hAnsi="Times New Roman" w:cs="Times New Roman"/>
                <w:color w:val="000000"/>
                <w:sz w:val="24"/>
                <w:szCs w:val="24"/>
              </w:rPr>
              <w:t xml:space="preserve">отделните </w:t>
            </w:r>
            <w:r>
              <w:rPr>
                <w:rFonts w:ascii="Times New Roman" w:eastAsia="Times New Roman" w:hAnsi="Times New Roman" w:cs="Times New Roman"/>
                <w:color w:val="000000"/>
                <w:sz w:val="24"/>
                <w:szCs w:val="24"/>
              </w:rPr>
              <w:t>мерки</w:t>
            </w:r>
            <w:r w:rsidR="006170DA">
              <w:rPr>
                <w:rFonts w:ascii="Times New Roman" w:eastAsia="Times New Roman" w:hAnsi="Times New Roman" w:cs="Times New Roman"/>
                <w:color w:val="000000"/>
                <w:sz w:val="24"/>
                <w:szCs w:val="24"/>
              </w:rPr>
              <w:t xml:space="preserve"> и избраните в стратегията за ВОМР цели, както и</w:t>
            </w:r>
            <w:r w:rsidRPr="007541D6">
              <w:rPr>
                <w:rFonts w:ascii="Times New Roman" w:eastAsia="Times New Roman" w:hAnsi="Times New Roman" w:cs="Times New Roman"/>
                <w:color w:val="000000"/>
                <w:sz w:val="24"/>
                <w:szCs w:val="24"/>
              </w:rPr>
              <w:t xml:space="preserve"> решения</w:t>
            </w:r>
            <w:r>
              <w:rPr>
                <w:rFonts w:ascii="Times New Roman" w:eastAsia="Times New Roman" w:hAnsi="Times New Roman" w:cs="Times New Roman"/>
                <w:color w:val="000000"/>
                <w:sz w:val="24"/>
                <w:szCs w:val="24"/>
              </w:rPr>
              <w:t>та</w:t>
            </w:r>
            <w:r w:rsidRPr="007541D6">
              <w:rPr>
                <w:rFonts w:ascii="Times New Roman" w:eastAsia="Times New Roman" w:hAnsi="Times New Roman" w:cs="Times New Roman"/>
                <w:color w:val="000000"/>
                <w:sz w:val="24"/>
                <w:szCs w:val="24"/>
              </w:rPr>
              <w:t xml:space="preserve"> относно размера на проектите, </w:t>
            </w:r>
            <w:proofErr w:type="spellStart"/>
            <w:r>
              <w:rPr>
                <w:rFonts w:ascii="Times New Roman" w:eastAsia="Times New Roman" w:hAnsi="Times New Roman" w:cs="Times New Roman"/>
                <w:color w:val="000000"/>
                <w:sz w:val="24"/>
                <w:szCs w:val="24"/>
              </w:rPr>
              <w:t>съ</w:t>
            </w:r>
            <w:r w:rsidRPr="007541D6">
              <w:rPr>
                <w:rFonts w:ascii="Times New Roman" w:eastAsia="Times New Roman" w:hAnsi="Times New Roman" w:cs="Times New Roman"/>
                <w:color w:val="000000"/>
                <w:sz w:val="24"/>
                <w:szCs w:val="24"/>
              </w:rPr>
              <w:t>-финансиране</w:t>
            </w:r>
            <w:r>
              <w:rPr>
                <w:rFonts w:ascii="Times New Roman" w:eastAsia="Times New Roman" w:hAnsi="Times New Roman" w:cs="Times New Roman"/>
                <w:color w:val="000000"/>
                <w:sz w:val="24"/>
                <w:szCs w:val="24"/>
              </w:rPr>
              <w:t>то</w:t>
            </w:r>
            <w:proofErr w:type="spellEnd"/>
            <w:r>
              <w:rPr>
                <w:rFonts w:ascii="Times New Roman" w:eastAsia="Times New Roman" w:hAnsi="Times New Roman" w:cs="Times New Roman"/>
                <w:color w:val="000000"/>
                <w:sz w:val="24"/>
                <w:szCs w:val="24"/>
              </w:rPr>
              <w:t xml:space="preserve"> и броя на планираните за финансиране проектни предложения по стратегията.</w:t>
            </w:r>
          </w:p>
          <w:p w14:paraId="7B4C68D3" w14:textId="77777777" w:rsidR="00C03039" w:rsidRDefault="00C03039" w:rsidP="0031598B">
            <w:pPr>
              <w:widowControl w:val="0"/>
              <w:autoSpaceDE w:val="0"/>
              <w:autoSpaceDN w:val="0"/>
              <w:adjustRightInd w:val="0"/>
              <w:spacing w:line="276" w:lineRule="auto"/>
              <w:ind w:firstLine="483"/>
              <w:jc w:val="both"/>
              <w:rPr>
                <w:rFonts w:ascii="Times New Roman" w:hAnsi="Times New Roman" w:cs="Times New Roman"/>
                <w:sz w:val="24"/>
                <w:szCs w:val="24"/>
                <w:shd w:val="clear" w:color="auto" w:fill="FEFEFE"/>
              </w:rPr>
            </w:pPr>
          </w:p>
          <w:p w14:paraId="2ED76CDC" w14:textId="77777777" w:rsidR="0031598B" w:rsidRPr="007541D6" w:rsidRDefault="0031598B" w:rsidP="007A16AE">
            <w:pPr>
              <w:widowControl w:val="0"/>
              <w:autoSpaceDE w:val="0"/>
              <w:autoSpaceDN w:val="0"/>
              <w:adjustRightInd w:val="0"/>
              <w:spacing w:line="276" w:lineRule="auto"/>
              <w:ind w:firstLine="482"/>
              <w:jc w:val="both"/>
              <w:rPr>
                <w:rFonts w:ascii="Times New Roman" w:hAnsi="Times New Roman" w:cs="Times New Roman"/>
                <w:b/>
                <w:sz w:val="24"/>
                <w:szCs w:val="24"/>
                <w:shd w:val="clear" w:color="auto" w:fill="FEFEFE"/>
              </w:rPr>
            </w:pPr>
            <w:r w:rsidRPr="007541D6">
              <w:rPr>
                <w:rFonts w:ascii="Times New Roman" w:hAnsi="Times New Roman" w:cs="Times New Roman"/>
                <w:b/>
                <w:sz w:val="24"/>
                <w:szCs w:val="24"/>
                <w:shd w:val="clear" w:color="auto" w:fill="FEFEFE"/>
              </w:rPr>
              <w:t>3.6. „Оценка на уредбата за управление, мониторинг и оценка на стратегията“</w:t>
            </w:r>
          </w:p>
          <w:p w14:paraId="5C840834" w14:textId="0B38EEBF" w:rsidR="0031598B" w:rsidRDefault="00435670" w:rsidP="007A16AE">
            <w:pPr>
              <w:widowControl w:val="0"/>
              <w:autoSpaceDE w:val="0"/>
              <w:autoSpaceDN w:val="0"/>
              <w:adjustRightInd w:val="0"/>
              <w:spacing w:line="276" w:lineRule="auto"/>
              <w:ind w:firstLine="482"/>
              <w:jc w:val="both"/>
              <w:rPr>
                <w:rFonts w:ascii="Times New Roman" w:hAnsi="Times New Roman" w:cs="Times New Roman"/>
                <w:sz w:val="24"/>
                <w:szCs w:val="24"/>
                <w:shd w:val="clear" w:color="auto" w:fill="FEFEFE"/>
              </w:rPr>
            </w:pPr>
            <w:r w:rsidRPr="00435670">
              <w:rPr>
                <w:rFonts w:ascii="Times New Roman" w:hAnsi="Times New Roman" w:cs="Times New Roman"/>
                <w:sz w:val="24"/>
                <w:szCs w:val="24"/>
                <w:shd w:val="clear" w:color="auto" w:fill="FEFEFE"/>
              </w:rPr>
              <w:t xml:space="preserve">Оценява се </w:t>
            </w:r>
            <w:r>
              <w:rPr>
                <w:rFonts w:ascii="Times New Roman" w:hAnsi="Times New Roman" w:cs="Times New Roman"/>
                <w:sz w:val="24"/>
                <w:szCs w:val="24"/>
                <w:shd w:val="clear" w:color="auto" w:fill="FEFEFE"/>
              </w:rPr>
              <w:t xml:space="preserve">механизма на вземане на решения и </w:t>
            </w:r>
            <w:r w:rsidRPr="00435670">
              <w:rPr>
                <w:rFonts w:ascii="Times New Roman" w:hAnsi="Times New Roman" w:cs="Times New Roman"/>
                <w:sz w:val="24"/>
                <w:szCs w:val="24"/>
                <w:shd w:val="clear" w:color="auto" w:fill="FEFEFE"/>
              </w:rPr>
              <w:t xml:space="preserve">функционалността на </w:t>
            </w:r>
            <w:r>
              <w:rPr>
                <w:rFonts w:ascii="Times New Roman" w:hAnsi="Times New Roman" w:cs="Times New Roman"/>
                <w:sz w:val="24"/>
                <w:szCs w:val="24"/>
                <w:shd w:val="clear" w:color="auto" w:fill="FEFEFE"/>
              </w:rPr>
              <w:t xml:space="preserve">управлението </w:t>
            </w:r>
            <w:r w:rsidRPr="00435670">
              <w:rPr>
                <w:rFonts w:ascii="Times New Roman" w:hAnsi="Times New Roman" w:cs="Times New Roman"/>
                <w:sz w:val="24"/>
                <w:szCs w:val="24"/>
                <w:shd w:val="clear" w:color="auto" w:fill="FEFEFE"/>
              </w:rPr>
              <w:t>на МИГ</w:t>
            </w:r>
            <w:r>
              <w:rPr>
                <w:rFonts w:ascii="Times New Roman" w:hAnsi="Times New Roman" w:cs="Times New Roman"/>
                <w:sz w:val="24"/>
                <w:szCs w:val="24"/>
                <w:shd w:val="clear" w:color="auto" w:fill="FEFEFE"/>
              </w:rPr>
              <w:t>, както и</w:t>
            </w:r>
            <w:r w:rsidRPr="00435670">
              <w:rPr>
                <w:rFonts w:ascii="Times New Roman" w:hAnsi="Times New Roman" w:cs="Times New Roman"/>
                <w:sz w:val="24"/>
                <w:szCs w:val="24"/>
                <w:shd w:val="clear" w:color="auto" w:fill="FEFEFE"/>
              </w:rPr>
              <w:t xml:space="preserve"> взаимовръзките</w:t>
            </w:r>
            <w:r>
              <w:rPr>
                <w:rFonts w:ascii="Times New Roman" w:hAnsi="Times New Roman" w:cs="Times New Roman"/>
                <w:sz w:val="24"/>
                <w:szCs w:val="24"/>
                <w:shd w:val="clear" w:color="auto" w:fill="FEFEFE"/>
              </w:rPr>
              <w:t xml:space="preserve">, ролите и функциите </w:t>
            </w:r>
            <w:r w:rsidRPr="00435670">
              <w:rPr>
                <w:rFonts w:ascii="Times New Roman" w:hAnsi="Times New Roman" w:cs="Times New Roman"/>
                <w:sz w:val="24"/>
                <w:szCs w:val="24"/>
                <w:shd w:val="clear" w:color="auto" w:fill="FEFEFE"/>
              </w:rPr>
              <w:t xml:space="preserve">между различните </w:t>
            </w:r>
            <w:r>
              <w:rPr>
                <w:rFonts w:ascii="Times New Roman" w:hAnsi="Times New Roman" w:cs="Times New Roman"/>
                <w:sz w:val="24"/>
                <w:szCs w:val="24"/>
                <w:shd w:val="clear" w:color="auto" w:fill="FEFEFE"/>
              </w:rPr>
              <w:t xml:space="preserve">органи на управление и контрол, екипа на МИГ, </w:t>
            </w:r>
            <w:r w:rsidRPr="00435670">
              <w:rPr>
                <w:rFonts w:ascii="Times New Roman" w:hAnsi="Times New Roman" w:cs="Times New Roman"/>
                <w:sz w:val="24"/>
                <w:szCs w:val="24"/>
                <w:shd w:val="clear" w:color="auto" w:fill="FEFEFE"/>
              </w:rPr>
              <w:t>комисии</w:t>
            </w:r>
            <w:r>
              <w:rPr>
                <w:rFonts w:ascii="Times New Roman" w:hAnsi="Times New Roman" w:cs="Times New Roman"/>
                <w:sz w:val="24"/>
                <w:szCs w:val="24"/>
                <w:shd w:val="clear" w:color="auto" w:fill="FEFEFE"/>
              </w:rPr>
              <w:t xml:space="preserve"> за оценка на проектни предложения, експерти и др. Прави се оценка на е</w:t>
            </w:r>
            <w:r w:rsidRPr="00435670">
              <w:rPr>
                <w:rFonts w:ascii="Times New Roman" w:hAnsi="Times New Roman" w:cs="Times New Roman"/>
                <w:sz w:val="24"/>
                <w:szCs w:val="24"/>
                <w:shd w:val="clear" w:color="auto" w:fill="FEFEFE"/>
              </w:rPr>
              <w:t>фективността на разпределяне на ролите и отговорностите на отделните органи</w:t>
            </w:r>
            <w:r>
              <w:rPr>
                <w:rFonts w:ascii="Times New Roman" w:hAnsi="Times New Roman" w:cs="Times New Roman"/>
                <w:sz w:val="24"/>
                <w:szCs w:val="24"/>
                <w:shd w:val="clear" w:color="auto" w:fill="FEFEFE"/>
              </w:rPr>
              <w:t xml:space="preserve"> при изпълнение на стратегията за ВОМР и нейната оценка и мониторинг. </w:t>
            </w:r>
          </w:p>
          <w:p w14:paraId="4FBC018A" w14:textId="77777777" w:rsidR="00496EA4" w:rsidRDefault="00496EA4" w:rsidP="0031598B">
            <w:pPr>
              <w:widowControl w:val="0"/>
              <w:autoSpaceDE w:val="0"/>
              <w:autoSpaceDN w:val="0"/>
              <w:adjustRightInd w:val="0"/>
              <w:spacing w:line="276" w:lineRule="auto"/>
              <w:ind w:firstLine="483"/>
              <w:jc w:val="both"/>
              <w:rPr>
                <w:rFonts w:ascii="Times New Roman" w:hAnsi="Times New Roman" w:cs="Times New Roman"/>
                <w:sz w:val="24"/>
                <w:szCs w:val="24"/>
                <w:shd w:val="clear" w:color="auto" w:fill="FEFEFE"/>
              </w:rPr>
            </w:pPr>
          </w:p>
          <w:p w14:paraId="26EB3FF5" w14:textId="5C51F3F2" w:rsidR="0031598B" w:rsidRPr="007541D6" w:rsidRDefault="0031598B" w:rsidP="007A16AE">
            <w:pPr>
              <w:widowControl w:val="0"/>
              <w:autoSpaceDE w:val="0"/>
              <w:autoSpaceDN w:val="0"/>
              <w:adjustRightInd w:val="0"/>
              <w:spacing w:line="276" w:lineRule="auto"/>
              <w:ind w:firstLine="482"/>
              <w:jc w:val="both"/>
              <w:rPr>
                <w:rFonts w:ascii="Times New Roman" w:hAnsi="Times New Roman" w:cs="Times New Roman"/>
                <w:b/>
                <w:sz w:val="24"/>
                <w:szCs w:val="24"/>
                <w:shd w:val="clear" w:color="auto" w:fill="FEFEFE"/>
              </w:rPr>
            </w:pPr>
            <w:r w:rsidRPr="007541D6">
              <w:rPr>
                <w:rFonts w:ascii="Times New Roman" w:hAnsi="Times New Roman" w:cs="Times New Roman"/>
                <w:b/>
                <w:sz w:val="24"/>
                <w:szCs w:val="24"/>
                <w:shd w:val="clear" w:color="auto" w:fill="FEFEFE"/>
              </w:rPr>
              <w:t>3.7.</w:t>
            </w:r>
            <w:r w:rsidR="00980E5E" w:rsidRPr="007541D6">
              <w:rPr>
                <w:rFonts w:ascii="Times New Roman" w:hAnsi="Times New Roman" w:cs="Times New Roman"/>
                <w:b/>
                <w:sz w:val="24"/>
                <w:szCs w:val="24"/>
                <w:shd w:val="clear" w:color="auto" w:fill="FEFEFE"/>
              </w:rPr>
              <w:t xml:space="preserve"> </w:t>
            </w:r>
            <w:r w:rsidRPr="007541D6">
              <w:rPr>
                <w:rFonts w:ascii="Times New Roman" w:hAnsi="Times New Roman" w:cs="Times New Roman"/>
                <w:b/>
                <w:sz w:val="24"/>
                <w:szCs w:val="24"/>
                <w:shd w:val="clear" w:color="auto" w:fill="FEFEFE"/>
              </w:rPr>
              <w:t>„Оценка на изходните индикатори и индикаторите за резултат, включени в стратегията“</w:t>
            </w:r>
          </w:p>
          <w:p w14:paraId="1CA83146" w14:textId="7C6B70D9" w:rsidR="0031598B" w:rsidRDefault="003F1806" w:rsidP="007A16AE">
            <w:pPr>
              <w:widowControl w:val="0"/>
              <w:autoSpaceDE w:val="0"/>
              <w:autoSpaceDN w:val="0"/>
              <w:adjustRightInd w:val="0"/>
              <w:spacing w:line="276" w:lineRule="auto"/>
              <w:ind w:firstLine="482"/>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Извършва се о</w:t>
            </w:r>
            <w:r w:rsidR="00496EA4" w:rsidRPr="00496EA4">
              <w:rPr>
                <w:rFonts w:ascii="Times New Roman" w:hAnsi="Times New Roman" w:cs="Times New Roman"/>
                <w:sz w:val="24"/>
                <w:szCs w:val="24"/>
                <w:shd w:val="clear" w:color="auto" w:fill="FEFEFE"/>
              </w:rPr>
              <w:t>ценка на реалистичната картина на очакван</w:t>
            </w:r>
            <w:r w:rsidR="00496EA4">
              <w:rPr>
                <w:rFonts w:ascii="Times New Roman" w:hAnsi="Times New Roman" w:cs="Times New Roman"/>
                <w:sz w:val="24"/>
                <w:szCs w:val="24"/>
                <w:shd w:val="clear" w:color="auto" w:fill="FEFEFE"/>
              </w:rPr>
              <w:t xml:space="preserve">ите резултати и </w:t>
            </w:r>
            <w:r w:rsidR="00496EA4" w:rsidRPr="00496EA4">
              <w:rPr>
                <w:rFonts w:ascii="Times New Roman" w:hAnsi="Times New Roman" w:cs="Times New Roman"/>
                <w:sz w:val="24"/>
                <w:szCs w:val="24"/>
                <w:shd w:val="clear" w:color="auto" w:fill="FEFEFE"/>
              </w:rPr>
              <w:t xml:space="preserve">въздействие </w:t>
            </w:r>
            <w:r w:rsidR="00496EA4">
              <w:rPr>
                <w:rFonts w:ascii="Times New Roman" w:hAnsi="Times New Roman" w:cs="Times New Roman"/>
                <w:sz w:val="24"/>
                <w:szCs w:val="24"/>
                <w:shd w:val="clear" w:color="auto" w:fill="FEFEFE"/>
              </w:rPr>
              <w:t>от</w:t>
            </w:r>
            <w:r w:rsidR="00496EA4" w:rsidRPr="00496EA4">
              <w:rPr>
                <w:rFonts w:ascii="Times New Roman" w:hAnsi="Times New Roman" w:cs="Times New Roman"/>
                <w:sz w:val="24"/>
                <w:szCs w:val="24"/>
                <w:shd w:val="clear" w:color="auto" w:fill="FEFEFE"/>
              </w:rPr>
              <w:t xml:space="preserve"> </w:t>
            </w:r>
            <w:r w:rsidR="00496EA4">
              <w:rPr>
                <w:rFonts w:ascii="Times New Roman" w:hAnsi="Times New Roman" w:cs="Times New Roman"/>
                <w:sz w:val="24"/>
                <w:szCs w:val="24"/>
                <w:shd w:val="clear" w:color="auto" w:fill="FEFEFE"/>
              </w:rPr>
              <w:t xml:space="preserve">изпълнението </w:t>
            </w:r>
            <w:r w:rsidR="00496EA4" w:rsidRPr="00496EA4">
              <w:rPr>
                <w:rFonts w:ascii="Times New Roman" w:hAnsi="Times New Roman" w:cs="Times New Roman"/>
                <w:sz w:val="24"/>
                <w:szCs w:val="24"/>
                <w:shd w:val="clear" w:color="auto" w:fill="FEFEFE"/>
              </w:rPr>
              <w:t xml:space="preserve">на стратегията за </w:t>
            </w:r>
            <w:r w:rsidR="00496EA4">
              <w:rPr>
                <w:rFonts w:ascii="Times New Roman" w:hAnsi="Times New Roman" w:cs="Times New Roman"/>
                <w:sz w:val="24"/>
                <w:szCs w:val="24"/>
                <w:shd w:val="clear" w:color="auto" w:fill="FEFEFE"/>
              </w:rPr>
              <w:t>ВОМР</w:t>
            </w:r>
            <w:r w:rsidR="00496EA4" w:rsidRPr="00496EA4">
              <w:rPr>
                <w:rFonts w:ascii="Times New Roman" w:hAnsi="Times New Roman" w:cs="Times New Roman"/>
                <w:sz w:val="24"/>
                <w:szCs w:val="24"/>
                <w:shd w:val="clear" w:color="auto" w:fill="FEFEFE"/>
              </w:rPr>
              <w:t xml:space="preserve"> върху постигането на </w:t>
            </w:r>
            <w:r w:rsidR="00496EA4">
              <w:rPr>
                <w:rFonts w:ascii="Times New Roman" w:hAnsi="Times New Roman" w:cs="Times New Roman"/>
                <w:sz w:val="24"/>
                <w:szCs w:val="24"/>
                <w:shd w:val="clear" w:color="auto" w:fill="FEFEFE"/>
              </w:rPr>
              <w:t xml:space="preserve">нейните </w:t>
            </w:r>
            <w:r w:rsidR="00496EA4" w:rsidRPr="00496EA4">
              <w:rPr>
                <w:rFonts w:ascii="Times New Roman" w:hAnsi="Times New Roman" w:cs="Times New Roman"/>
                <w:sz w:val="24"/>
                <w:szCs w:val="24"/>
                <w:shd w:val="clear" w:color="auto" w:fill="FEFEFE"/>
              </w:rPr>
              <w:t>цели</w:t>
            </w:r>
            <w:r w:rsidR="00496EA4">
              <w:rPr>
                <w:rFonts w:ascii="Times New Roman" w:hAnsi="Times New Roman" w:cs="Times New Roman"/>
                <w:sz w:val="24"/>
                <w:szCs w:val="24"/>
                <w:shd w:val="clear" w:color="auto" w:fill="FEFEFE"/>
              </w:rPr>
              <w:t xml:space="preserve">. </w:t>
            </w:r>
            <w:r w:rsidR="00496EA4" w:rsidRPr="00496EA4">
              <w:rPr>
                <w:rFonts w:ascii="Times New Roman" w:hAnsi="Times New Roman" w:cs="Times New Roman"/>
                <w:sz w:val="24"/>
                <w:szCs w:val="24"/>
                <w:shd w:val="clear" w:color="auto" w:fill="FEFEFE"/>
              </w:rPr>
              <w:t xml:space="preserve">Оценява се и способността да се </w:t>
            </w:r>
            <w:r w:rsidR="00496EA4">
              <w:rPr>
                <w:rFonts w:ascii="Times New Roman" w:hAnsi="Times New Roman" w:cs="Times New Roman"/>
                <w:sz w:val="24"/>
                <w:szCs w:val="24"/>
                <w:shd w:val="clear" w:color="auto" w:fill="FEFEFE"/>
              </w:rPr>
              <w:t>проследи ефекта от изпълнение н</w:t>
            </w:r>
            <w:r w:rsidR="00496EA4" w:rsidRPr="00496EA4">
              <w:rPr>
                <w:rFonts w:ascii="Times New Roman" w:hAnsi="Times New Roman" w:cs="Times New Roman"/>
                <w:sz w:val="24"/>
                <w:szCs w:val="24"/>
                <w:shd w:val="clear" w:color="auto" w:fill="FEFEFE"/>
              </w:rPr>
              <w:t>а стратегията и нейното възможно позитивно и</w:t>
            </w:r>
            <w:r w:rsidR="00496EA4">
              <w:rPr>
                <w:rFonts w:ascii="Times New Roman" w:hAnsi="Times New Roman" w:cs="Times New Roman"/>
                <w:sz w:val="24"/>
                <w:szCs w:val="24"/>
                <w:shd w:val="clear" w:color="auto" w:fill="FEFEFE"/>
              </w:rPr>
              <w:t>ли</w:t>
            </w:r>
            <w:r w:rsidR="00496EA4" w:rsidRPr="00496EA4">
              <w:rPr>
                <w:rFonts w:ascii="Times New Roman" w:hAnsi="Times New Roman" w:cs="Times New Roman"/>
                <w:sz w:val="24"/>
                <w:szCs w:val="24"/>
                <w:shd w:val="clear" w:color="auto" w:fill="FEFEFE"/>
              </w:rPr>
              <w:t xml:space="preserve"> негативно влияние </w:t>
            </w:r>
            <w:r w:rsidR="00496EA4">
              <w:rPr>
                <w:rFonts w:ascii="Times New Roman" w:hAnsi="Times New Roman" w:cs="Times New Roman"/>
                <w:sz w:val="24"/>
                <w:szCs w:val="24"/>
                <w:shd w:val="clear" w:color="auto" w:fill="FEFEFE"/>
              </w:rPr>
              <w:t>развитието на територията на МИГ</w:t>
            </w:r>
            <w:r w:rsidR="00496EA4" w:rsidRPr="00496EA4">
              <w:rPr>
                <w:rFonts w:ascii="Times New Roman" w:hAnsi="Times New Roman" w:cs="Times New Roman"/>
                <w:sz w:val="24"/>
                <w:szCs w:val="24"/>
                <w:shd w:val="clear" w:color="auto" w:fill="FEFEFE"/>
              </w:rPr>
              <w:t>.</w:t>
            </w:r>
          </w:p>
          <w:p w14:paraId="7CC6C72E" w14:textId="6A4E6BB2" w:rsidR="0035311E" w:rsidRPr="0035311E" w:rsidRDefault="0035311E" w:rsidP="0035311E">
            <w:pPr>
              <w:widowControl w:val="0"/>
              <w:autoSpaceDE w:val="0"/>
              <w:autoSpaceDN w:val="0"/>
              <w:adjustRightInd w:val="0"/>
              <w:ind w:firstLine="625"/>
              <w:jc w:val="both"/>
              <w:rPr>
                <w:rFonts w:ascii="Times New Roman" w:hAnsi="Times New Roman" w:cs="Times New Roman"/>
                <w:sz w:val="24"/>
                <w:szCs w:val="24"/>
                <w:shd w:val="clear" w:color="auto" w:fill="FEFEFE"/>
                <w:lang w:val="en-US"/>
              </w:rPr>
            </w:pPr>
          </w:p>
        </w:tc>
      </w:tr>
    </w:tbl>
    <w:p w14:paraId="1495B47C"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highlight w:val="yellow"/>
        </w:rPr>
      </w:pPr>
    </w:p>
    <w:tbl>
      <w:tblPr>
        <w:tblStyle w:val="TableGrid"/>
        <w:tblW w:w="9781" w:type="dxa"/>
        <w:tblInd w:w="-34" w:type="dxa"/>
        <w:tblLook w:val="04A0" w:firstRow="1" w:lastRow="0" w:firstColumn="1" w:lastColumn="0" w:noHBand="0" w:noVBand="1"/>
      </w:tblPr>
      <w:tblGrid>
        <w:gridCol w:w="9781"/>
      </w:tblGrid>
      <w:tr w:rsidR="00FB202F" w:rsidRPr="00FB202F" w14:paraId="375CDF35" w14:textId="77777777" w:rsidTr="000D7565">
        <w:tc>
          <w:tcPr>
            <w:tcW w:w="9781" w:type="dxa"/>
          </w:tcPr>
          <w:p w14:paraId="4E39A554" w14:textId="77777777" w:rsidR="003935EC" w:rsidRPr="00FB202F" w:rsidRDefault="003935EC" w:rsidP="007541D6">
            <w:pPr>
              <w:tabs>
                <w:tab w:val="left" w:pos="0"/>
                <w:tab w:val="left" w:pos="851"/>
              </w:tabs>
              <w:spacing w:after="200" w:line="276" w:lineRule="auto"/>
              <w:ind w:firstLine="567"/>
              <w:jc w:val="both"/>
              <w:rPr>
                <w:rFonts w:ascii="Times New Roman" w:hAnsi="Times New Roman" w:cs="Times New Roman"/>
                <w:b/>
                <w:sz w:val="24"/>
                <w:szCs w:val="24"/>
              </w:rPr>
            </w:pPr>
            <w:r w:rsidRPr="00FB202F">
              <w:rPr>
                <w:rFonts w:ascii="Times New Roman" w:hAnsi="Times New Roman" w:cs="Times New Roman"/>
                <w:b/>
                <w:sz w:val="24"/>
                <w:szCs w:val="24"/>
              </w:rPr>
              <w:t>23. Начин на подаване на документите за кандидатстване:</w:t>
            </w:r>
          </w:p>
          <w:p w14:paraId="7F490819" w14:textId="6E4861A7" w:rsidR="00F04541" w:rsidRDefault="00F04541" w:rsidP="00F04541">
            <w:pPr>
              <w:tabs>
                <w:tab w:val="left" w:pos="0"/>
                <w:tab w:val="left" w:pos="709"/>
              </w:tabs>
              <w:spacing w:line="276" w:lineRule="auto"/>
              <w:ind w:firstLine="567"/>
              <w:jc w:val="both"/>
              <w:rPr>
                <w:rFonts w:ascii="Times New Roman" w:hAnsi="Times New Roman" w:cs="Times New Roman"/>
                <w:sz w:val="24"/>
                <w:szCs w:val="24"/>
              </w:rPr>
            </w:pPr>
            <w:r w:rsidRPr="00F04541">
              <w:rPr>
                <w:rFonts w:ascii="Times New Roman" w:hAnsi="Times New Roman" w:cs="Times New Roman"/>
                <w:sz w:val="24"/>
                <w:szCs w:val="24"/>
              </w:rPr>
              <w:t>Документите се подават в ИСУН в срока, определен в настоящите насоки, съгласно условията и реда на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фондове при споделено управление (ИСУН) и за провеждане на производства пред управляващите органи посредством ИСУН (Загл. изм. – ДВ, бр. 46 от 2024 г. ), приета с Постановление № 243 на Министерския съвет от 2016 г. (</w:t>
            </w:r>
            <w:proofErr w:type="spellStart"/>
            <w:r w:rsidRPr="00F04541">
              <w:rPr>
                <w:rFonts w:ascii="Times New Roman" w:hAnsi="Times New Roman" w:cs="Times New Roman"/>
                <w:sz w:val="24"/>
                <w:szCs w:val="24"/>
              </w:rPr>
              <w:t>обн</w:t>
            </w:r>
            <w:proofErr w:type="spellEnd"/>
            <w:r w:rsidRPr="00F04541">
              <w:rPr>
                <w:rFonts w:ascii="Times New Roman" w:hAnsi="Times New Roman" w:cs="Times New Roman"/>
                <w:sz w:val="24"/>
                <w:szCs w:val="24"/>
              </w:rPr>
              <w:t>., ДВ, бр. 76 от 2016 г.).</w:t>
            </w:r>
          </w:p>
          <w:p w14:paraId="510E3A95" w14:textId="77777777" w:rsidR="003935EC" w:rsidRPr="00FB202F" w:rsidRDefault="003935EC" w:rsidP="000463E8">
            <w:pPr>
              <w:tabs>
                <w:tab w:val="left" w:pos="0"/>
                <w:tab w:val="left" w:pos="709"/>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Подаването на проектни предложения по настоящата процедура се извършва по </w:t>
            </w:r>
            <w:r w:rsidRPr="00FB202F">
              <w:rPr>
                <w:rFonts w:ascii="Times New Roman" w:hAnsi="Times New Roman" w:cs="Times New Roman"/>
                <w:sz w:val="24"/>
                <w:szCs w:val="24"/>
              </w:rPr>
              <w:lastRenderedPageBreak/>
              <w:t xml:space="preserve">електронен път чрез попълване на уеб базиран формуляр за кандидатстване Формулярът се подписва с квалифициран електронен подпис (КЕП), подава се чрез модула „Е-кандидатстване“ на следния интернет адрес: </w:t>
            </w:r>
            <w:r w:rsidRPr="002F2814">
              <w:rPr>
                <w:rFonts w:ascii="Times New Roman" w:hAnsi="Times New Roman" w:cs="Times New Roman"/>
                <w:sz w:val="24"/>
                <w:szCs w:val="24"/>
              </w:rPr>
              <w:t>https://eumis2020.government.bg</w:t>
            </w:r>
            <w:r w:rsidRPr="0060581B">
              <w:rPr>
                <w:rFonts w:ascii="Times New Roman" w:hAnsi="Times New Roman" w:cs="Times New Roman"/>
                <w:sz w:val="24"/>
                <w:szCs w:val="24"/>
              </w:rPr>
              <w:t xml:space="preserve"> и се</w:t>
            </w:r>
            <w:r w:rsidRPr="00FB202F">
              <w:rPr>
                <w:rFonts w:ascii="Times New Roman" w:hAnsi="Times New Roman" w:cs="Times New Roman"/>
                <w:sz w:val="24"/>
                <w:szCs w:val="24"/>
              </w:rPr>
              <w:t xml:space="preserve"> прилагат документите от раздел 24 на настоящите указания „Списък на документите, които се подават на етап кандидатстване“. Документите от раздел 24 се подават във формат „</w:t>
            </w:r>
            <w:proofErr w:type="spellStart"/>
            <w:r w:rsidRPr="00FB202F">
              <w:rPr>
                <w:rFonts w:ascii="Times New Roman" w:hAnsi="Times New Roman" w:cs="Times New Roman"/>
                <w:sz w:val="24"/>
                <w:szCs w:val="24"/>
              </w:rPr>
              <w:t>pdf</w:t>
            </w:r>
            <w:proofErr w:type="spellEnd"/>
            <w:r w:rsidRPr="00FB202F">
              <w:rPr>
                <w:rFonts w:ascii="Times New Roman" w:hAnsi="Times New Roman" w:cs="Times New Roman"/>
                <w:sz w:val="24"/>
                <w:szCs w:val="24"/>
              </w:rPr>
              <w:t>“ или друг формат.</w:t>
            </w:r>
          </w:p>
          <w:p w14:paraId="29EA36C1" w14:textId="6C8EB9C3" w:rsidR="003935EC" w:rsidRPr="00FB202F" w:rsidRDefault="003935EC" w:rsidP="007541D6">
            <w:pPr>
              <w:tabs>
                <w:tab w:val="left" w:pos="0"/>
                <w:tab w:val="left" w:pos="709"/>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Подготовката и подаването на проектни предложения в ИСУН се извършва по следния начин: </w:t>
            </w:r>
          </w:p>
          <w:p w14:paraId="19434EAD" w14:textId="5C1B54CC" w:rsidR="003935EC" w:rsidRPr="00FB202F" w:rsidRDefault="003935EC" w:rsidP="007541D6">
            <w:pPr>
              <w:tabs>
                <w:tab w:val="left" w:pos="0"/>
                <w:tab w:val="left" w:pos="709"/>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Кандидатът влиза в ИСУН, след регистрация чрез </w:t>
            </w:r>
            <w:proofErr w:type="spellStart"/>
            <w:r w:rsidRPr="00FB202F">
              <w:rPr>
                <w:rFonts w:ascii="Times New Roman" w:hAnsi="Times New Roman" w:cs="Times New Roman"/>
                <w:sz w:val="24"/>
                <w:szCs w:val="24"/>
              </w:rPr>
              <w:t>е-мейл</w:t>
            </w:r>
            <w:proofErr w:type="spellEnd"/>
            <w:r w:rsidRPr="00FB202F">
              <w:rPr>
                <w:rFonts w:ascii="Times New Roman" w:hAnsi="Times New Roman" w:cs="Times New Roman"/>
                <w:sz w:val="24"/>
                <w:szCs w:val="24"/>
              </w:rPr>
              <w:t xml:space="preserve"> адрес и парола, избира настоящата процедура за кандидатстване от „Отворени процедури“ и създава ново проектно предложение. Документите от раздел 24 на настоящите указания се прикачват в т. 12 от формуляра за кандидатстване.</w:t>
            </w:r>
          </w:p>
          <w:p w14:paraId="462DFE0A" w14:textId="77777777" w:rsidR="003935EC" w:rsidRPr="00FB202F" w:rsidRDefault="003935EC" w:rsidP="007541D6">
            <w:pPr>
              <w:tabs>
                <w:tab w:val="left" w:pos="0"/>
                <w:tab w:val="left" w:pos="709"/>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Формулярът за кандидатстване се подава с КЕП от законния представител на кандидата МИГ. В случаите, когато кандидатът се представлява заедно от няколко физически лица, формулярът за кандидатстване се подписва от всяко от тях. Когато формулярът за кандидатстване не е подписан с КЕП от законния представител/и на МИГ се прикачва нотариално/и заверено/и изрично/и пълномощно/и във формат „</w:t>
            </w:r>
            <w:proofErr w:type="spellStart"/>
            <w:r w:rsidRPr="00FB202F">
              <w:rPr>
                <w:rFonts w:ascii="Times New Roman" w:hAnsi="Times New Roman" w:cs="Times New Roman"/>
                <w:sz w:val="24"/>
                <w:szCs w:val="24"/>
              </w:rPr>
              <w:t>рdf</w:t>
            </w:r>
            <w:proofErr w:type="spellEnd"/>
            <w:r w:rsidRPr="00FB202F">
              <w:rPr>
                <w:rFonts w:ascii="Times New Roman" w:hAnsi="Times New Roman" w:cs="Times New Roman"/>
                <w:sz w:val="24"/>
                <w:szCs w:val="24"/>
              </w:rPr>
              <w:t>“ или друг формат, подписано с КЕП на упълномощеното/</w:t>
            </w:r>
            <w:proofErr w:type="spellStart"/>
            <w:r w:rsidRPr="00FB202F">
              <w:rPr>
                <w:rFonts w:ascii="Times New Roman" w:hAnsi="Times New Roman" w:cs="Times New Roman"/>
                <w:sz w:val="24"/>
                <w:szCs w:val="24"/>
              </w:rPr>
              <w:t>ите</w:t>
            </w:r>
            <w:proofErr w:type="spellEnd"/>
            <w:r w:rsidRPr="00FB202F">
              <w:rPr>
                <w:rFonts w:ascii="Times New Roman" w:hAnsi="Times New Roman" w:cs="Times New Roman"/>
                <w:sz w:val="24"/>
                <w:szCs w:val="24"/>
              </w:rPr>
              <w:t xml:space="preserve"> лице/а. От текста на пълномощното/</w:t>
            </w:r>
            <w:proofErr w:type="spellStart"/>
            <w:r w:rsidRPr="00FB202F">
              <w:rPr>
                <w:rFonts w:ascii="Times New Roman" w:hAnsi="Times New Roman" w:cs="Times New Roman"/>
                <w:sz w:val="24"/>
                <w:szCs w:val="24"/>
              </w:rPr>
              <w:t>ите</w:t>
            </w:r>
            <w:proofErr w:type="spellEnd"/>
            <w:r w:rsidRPr="00FB202F">
              <w:rPr>
                <w:rFonts w:ascii="Times New Roman" w:hAnsi="Times New Roman" w:cs="Times New Roman"/>
                <w:sz w:val="24"/>
                <w:szCs w:val="24"/>
              </w:rPr>
              <w:t xml:space="preserve"> следва да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14:paraId="6D77B280" w14:textId="1F910767" w:rsidR="003935EC" w:rsidRPr="00FB202F" w:rsidRDefault="003935EC" w:rsidP="007541D6">
            <w:pPr>
              <w:tabs>
                <w:tab w:val="left" w:pos="0"/>
                <w:tab w:val="left" w:pos="709"/>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Формулярът за кандидатстване трябва да се подаде от профила на кандидата, тъй като впоследствие този профил ще бъде използван за комуникация с оценителната комисия. По време на оценката на проекта комуникацията с кандидата и редакцията на забелязани липси на документи и/или неясноти, или неточности ще се извършва електронно чрез профила на кандидата в ИСУН, от който е подадено съответното проектно предложение и промени на посочения профил (вкл. промяна на имейл адреса, асоцииран към съответния профил) са недопустими. </w:t>
            </w:r>
          </w:p>
          <w:p w14:paraId="2407D5C8" w14:textId="19D5C679" w:rsidR="003935EC" w:rsidRPr="00FB202F" w:rsidRDefault="003935EC" w:rsidP="007541D6">
            <w:pPr>
              <w:tabs>
                <w:tab w:val="left" w:pos="0"/>
                <w:tab w:val="left" w:pos="709"/>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До приключването на работата на оценителната комисия кандидатът има възможност да оттегли своя формуляр за кандидатстване като подаде писмено искане до комисията, като това обстоятелство се отбелязва от потребител на ИСУН от оценителната комисия със съответните права.</w:t>
            </w:r>
          </w:p>
          <w:p w14:paraId="5BA1281B" w14:textId="130F0DC9" w:rsidR="003935EC" w:rsidRPr="00FB202F" w:rsidRDefault="003935EC" w:rsidP="007541D6">
            <w:pPr>
              <w:tabs>
                <w:tab w:val="left" w:pos="0"/>
                <w:tab w:val="left" w:pos="709"/>
              </w:tabs>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Местната инициативна група може да иска разяснения по настоящите насоки. Разясненията се утвърждават от ръководителя на УО на </w:t>
            </w:r>
            <w:r w:rsidR="00DE5E14" w:rsidRPr="00FB202F">
              <w:rPr>
                <w:rFonts w:ascii="Times New Roman" w:hAnsi="Times New Roman" w:cs="Times New Roman"/>
                <w:sz w:val="24"/>
                <w:szCs w:val="24"/>
              </w:rPr>
              <w:t>С</w:t>
            </w:r>
            <w:r w:rsidRPr="00FB202F">
              <w:rPr>
                <w:rFonts w:ascii="Times New Roman" w:hAnsi="Times New Roman" w:cs="Times New Roman"/>
                <w:sz w:val="24"/>
                <w:szCs w:val="24"/>
              </w:rPr>
              <w:t>ПР</w:t>
            </w:r>
            <w:r w:rsidR="00DE5E14" w:rsidRPr="00FB202F">
              <w:rPr>
                <w:rFonts w:ascii="Times New Roman" w:hAnsi="Times New Roman" w:cs="Times New Roman"/>
                <w:sz w:val="24"/>
                <w:szCs w:val="24"/>
              </w:rPr>
              <w:t>З</w:t>
            </w:r>
            <w:r w:rsidRPr="00FB202F">
              <w:rPr>
                <w:rFonts w:ascii="Times New Roman" w:hAnsi="Times New Roman" w:cs="Times New Roman"/>
                <w:sz w:val="24"/>
                <w:szCs w:val="24"/>
              </w:rPr>
              <w:t xml:space="preserve">СР или от оправомощено от него лице. Разясненията се дават по отношение на </w:t>
            </w:r>
            <w:r w:rsidR="006C3FF4">
              <w:rPr>
                <w:rFonts w:ascii="Times New Roman" w:hAnsi="Times New Roman" w:cs="Times New Roman"/>
                <w:sz w:val="24"/>
                <w:szCs w:val="24"/>
              </w:rPr>
              <w:t>У</w:t>
            </w:r>
            <w:r w:rsidRPr="00FB202F">
              <w:rPr>
                <w:rFonts w:ascii="Times New Roman" w:hAnsi="Times New Roman" w:cs="Times New Roman"/>
                <w:sz w:val="24"/>
                <w:szCs w:val="24"/>
              </w:rPr>
              <w:t xml:space="preserve">словията за кандидатстване, не съдържат становище относно качеството на проектите и са задължителни за всички кандидати. </w:t>
            </w:r>
          </w:p>
          <w:p w14:paraId="508C7477" w14:textId="77777777" w:rsidR="003935EC" w:rsidRPr="00FB202F" w:rsidRDefault="003935EC" w:rsidP="007541D6">
            <w:pPr>
              <w:overflowPunct w:val="0"/>
              <w:autoSpaceDE w:val="0"/>
              <w:autoSpaceDN w:val="0"/>
              <w:adjustRightInd w:val="0"/>
              <w:spacing w:line="276" w:lineRule="auto"/>
              <w:ind w:firstLine="567"/>
              <w:jc w:val="both"/>
              <w:textAlignment w:val="baseline"/>
              <w:rPr>
                <w:rFonts w:ascii="Times New Roman" w:eastAsia="Times New Roman" w:hAnsi="Times New Roman" w:cs="Times New Roman"/>
                <w:sz w:val="24"/>
                <w:szCs w:val="24"/>
              </w:rPr>
            </w:pPr>
            <w:r w:rsidRPr="00FB202F">
              <w:rPr>
                <w:rFonts w:ascii="Times New Roman" w:eastAsia="Times New Roman" w:hAnsi="Times New Roman" w:cs="Times New Roman"/>
                <w:sz w:val="24"/>
                <w:szCs w:val="24"/>
              </w:rPr>
              <w:t>Разясненията се съобщават в 10-дневен срок от получаването на искането, но не по-късно от две седмици преди изтичането на срока за кандидатстване.</w:t>
            </w:r>
          </w:p>
        </w:tc>
      </w:tr>
    </w:tbl>
    <w:p w14:paraId="00EBD644"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highlight w:val="yellow"/>
        </w:rPr>
      </w:pPr>
    </w:p>
    <w:tbl>
      <w:tblPr>
        <w:tblStyle w:val="TableGrid"/>
        <w:tblW w:w="9923" w:type="dxa"/>
        <w:tblInd w:w="-34" w:type="dxa"/>
        <w:tblLook w:val="04A0" w:firstRow="1" w:lastRow="0" w:firstColumn="1" w:lastColumn="0" w:noHBand="0" w:noVBand="1"/>
      </w:tblPr>
      <w:tblGrid>
        <w:gridCol w:w="9923"/>
      </w:tblGrid>
      <w:tr w:rsidR="00FB202F" w:rsidRPr="00FB202F" w14:paraId="142BB368" w14:textId="77777777" w:rsidTr="000D7565">
        <w:tc>
          <w:tcPr>
            <w:tcW w:w="9923" w:type="dxa"/>
          </w:tcPr>
          <w:p w14:paraId="7287924B" w14:textId="77777777" w:rsidR="003935EC" w:rsidRPr="00FB202F" w:rsidRDefault="003935EC" w:rsidP="007541D6">
            <w:pPr>
              <w:tabs>
                <w:tab w:val="left" w:pos="0"/>
                <w:tab w:val="left" w:pos="709"/>
              </w:tabs>
              <w:spacing w:line="276" w:lineRule="auto"/>
              <w:ind w:firstLine="567"/>
              <w:jc w:val="both"/>
              <w:rPr>
                <w:rFonts w:ascii="Times New Roman" w:hAnsi="Times New Roman" w:cs="Times New Roman"/>
                <w:b/>
                <w:sz w:val="24"/>
                <w:szCs w:val="24"/>
              </w:rPr>
            </w:pPr>
            <w:r w:rsidRPr="00FB202F">
              <w:rPr>
                <w:rFonts w:ascii="Times New Roman" w:hAnsi="Times New Roman" w:cs="Times New Roman"/>
                <w:b/>
                <w:sz w:val="24"/>
                <w:szCs w:val="24"/>
              </w:rPr>
              <w:t>24. Списък на документите, които се подават на етап кандидатстване:</w:t>
            </w:r>
          </w:p>
          <w:p w14:paraId="783F32F0" w14:textId="3F68F53D" w:rsidR="00D96575" w:rsidRPr="00FB202F" w:rsidRDefault="00D96575" w:rsidP="007541D6">
            <w:pPr>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shd w:val="clear" w:color="auto" w:fill="FEFEFE"/>
              </w:rPr>
              <w:t>Към формуляра за кандидатстване се прилагат следните документи:</w:t>
            </w:r>
          </w:p>
          <w:p w14:paraId="2B9213FB" w14:textId="51AB6422" w:rsidR="00D96575" w:rsidRPr="002F2814" w:rsidRDefault="00D9657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стратегия за ВОМР </w:t>
            </w:r>
            <w:r w:rsidR="0096069C">
              <w:rPr>
                <w:rFonts w:ascii="Times New Roman" w:hAnsi="Times New Roman" w:cs="Times New Roman"/>
                <w:sz w:val="24"/>
                <w:szCs w:val="24"/>
              </w:rPr>
              <w:t xml:space="preserve">по образец </w:t>
            </w:r>
            <w:r w:rsidRPr="00FB202F">
              <w:rPr>
                <w:rFonts w:ascii="Times New Roman" w:hAnsi="Times New Roman" w:cs="Times New Roman"/>
                <w:sz w:val="24"/>
                <w:szCs w:val="24"/>
              </w:rPr>
              <w:t xml:space="preserve">съгласно приложение </w:t>
            </w:r>
            <w:r w:rsidRPr="0060581B">
              <w:rPr>
                <w:rFonts w:ascii="Times New Roman" w:hAnsi="Times New Roman" w:cs="Times New Roman"/>
                <w:sz w:val="24"/>
                <w:szCs w:val="24"/>
              </w:rPr>
              <w:t xml:space="preserve">№ </w:t>
            </w:r>
            <w:r w:rsidR="00471DD3">
              <w:rPr>
                <w:rFonts w:ascii="Times New Roman" w:hAnsi="Times New Roman" w:cs="Times New Roman"/>
                <w:sz w:val="24"/>
                <w:szCs w:val="24"/>
              </w:rPr>
              <w:t>2</w:t>
            </w:r>
            <w:r w:rsidR="0096069C">
              <w:rPr>
                <w:rFonts w:ascii="Times New Roman" w:hAnsi="Times New Roman" w:cs="Times New Roman"/>
                <w:sz w:val="24"/>
                <w:szCs w:val="24"/>
              </w:rPr>
              <w:t xml:space="preserve"> във формат .</w:t>
            </w:r>
            <w:proofErr w:type="spellStart"/>
            <w:r w:rsidR="0096069C">
              <w:rPr>
                <w:rFonts w:ascii="Times New Roman" w:hAnsi="Times New Roman" w:cs="Times New Roman"/>
                <w:sz w:val="24"/>
                <w:szCs w:val="24"/>
                <w:lang w:val="en-GB"/>
              </w:rPr>
              <w:t>pdf</w:t>
            </w:r>
            <w:proofErr w:type="spellEnd"/>
            <w:r w:rsidRPr="0060581B">
              <w:rPr>
                <w:rFonts w:ascii="Times New Roman" w:hAnsi="Times New Roman" w:cs="Times New Roman"/>
                <w:sz w:val="24"/>
                <w:szCs w:val="24"/>
              </w:rPr>
              <w:t>;</w:t>
            </w:r>
          </w:p>
          <w:p w14:paraId="1E154227" w14:textId="372D3D46" w:rsidR="00D96575" w:rsidRPr="002F2814" w:rsidRDefault="00D9657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rPr>
            </w:pPr>
            <w:r w:rsidRPr="002F2814">
              <w:rPr>
                <w:rFonts w:ascii="Times New Roman" w:hAnsi="Times New Roman" w:cs="Times New Roman"/>
                <w:sz w:val="24"/>
                <w:szCs w:val="24"/>
              </w:rPr>
              <w:lastRenderedPageBreak/>
              <w:t xml:space="preserve">финансов план на средствата за управление и популяризиране на стратегията съгласно приложение № </w:t>
            </w:r>
            <w:r w:rsidR="00471DD3">
              <w:rPr>
                <w:rFonts w:ascii="Times New Roman" w:hAnsi="Times New Roman" w:cs="Times New Roman"/>
                <w:sz w:val="24"/>
                <w:szCs w:val="24"/>
              </w:rPr>
              <w:t>3</w:t>
            </w:r>
            <w:r w:rsidRPr="002F2814">
              <w:rPr>
                <w:rFonts w:ascii="Times New Roman" w:hAnsi="Times New Roman" w:cs="Times New Roman"/>
                <w:sz w:val="24"/>
                <w:szCs w:val="24"/>
              </w:rPr>
              <w:t>;</w:t>
            </w:r>
          </w:p>
          <w:p w14:paraId="412DEE42" w14:textId="4C1B152E" w:rsidR="00D96575" w:rsidRPr="002F2814" w:rsidRDefault="00D9657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rPr>
            </w:pPr>
            <w:r w:rsidRPr="002F2814">
              <w:rPr>
                <w:rFonts w:ascii="Times New Roman" w:hAnsi="Times New Roman" w:cs="Times New Roman"/>
                <w:sz w:val="24"/>
                <w:szCs w:val="24"/>
              </w:rPr>
              <w:t>решение на общото събрание на МИГ за одобрение на стратегията за ВОМР;</w:t>
            </w:r>
          </w:p>
          <w:p w14:paraId="1A1A364A" w14:textId="58AB3453" w:rsidR="00D96575" w:rsidRPr="002F2814" w:rsidRDefault="00D9657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rPr>
            </w:pPr>
            <w:r w:rsidRPr="002F2814">
              <w:rPr>
                <w:rFonts w:ascii="Times New Roman" w:hAnsi="Times New Roman" w:cs="Times New Roman"/>
                <w:sz w:val="24"/>
                <w:szCs w:val="24"/>
              </w:rPr>
              <w:t>решение или становище, издадено по реда на глава шеста от Закона за опазване на околната среда и/или чл. 31 от Закона за биологичното разнообразие</w:t>
            </w:r>
            <w:r w:rsidR="00F44756">
              <w:rPr>
                <w:rFonts w:ascii="Times New Roman" w:hAnsi="Times New Roman" w:cs="Times New Roman"/>
                <w:sz w:val="24"/>
                <w:szCs w:val="24"/>
              </w:rPr>
              <w:t xml:space="preserve"> или входящ номер с искане за такова</w:t>
            </w:r>
            <w:r w:rsidR="001C48A1">
              <w:rPr>
                <w:rFonts w:ascii="Times New Roman" w:hAnsi="Times New Roman" w:cs="Times New Roman"/>
                <w:sz w:val="24"/>
                <w:szCs w:val="24"/>
              </w:rPr>
              <w:t xml:space="preserve">. </w:t>
            </w:r>
            <w:r w:rsidR="00F44756">
              <w:rPr>
                <w:rFonts w:ascii="Times New Roman" w:hAnsi="Times New Roman" w:cs="Times New Roman"/>
                <w:sz w:val="24"/>
                <w:szCs w:val="24"/>
              </w:rPr>
              <w:t>При подаване на входящ номер, МИГ следва да представи решение</w:t>
            </w:r>
            <w:r w:rsidR="00F44756">
              <w:rPr>
                <w:rFonts w:ascii="Times New Roman" w:hAnsi="Times New Roman" w:cs="Times New Roman"/>
                <w:sz w:val="24"/>
                <w:szCs w:val="24"/>
                <w:lang w:val="en-US"/>
              </w:rPr>
              <w:t>/</w:t>
            </w:r>
            <w:r w:rsidR="00F44756">
              <w:rPr>
                <w:rFonts w:ascii="Times New Roman" w:hAnsi="Times New Roman" w:cs="Times New Roman"/>
                <w:sz w:val="24"/>
                <w:szCs w:val="24"/>
              </w:rPr>
              <w:t>становище най-късно в срока за допълнителни документи, изискани от комитета за подбор на стратегиите за ВОМР</w:t>
            </w:r>
            <w:r w:rsidRPr="002F2814">
              <w:rPr>
                <w:rFonts w:ascii="Times New Roman" w:hAnsi="Times New Roman" w:cs="Times New Roman"/>
                <w:sz w:val="24"/>
                <w:szCs w:val="24"/>
              </w:rPr>
              <w:t>;</w:t>
            </w:r>
          </w:p>
          <w:p w14:paraId="2AA9FA44" w14:textId="2774F65E" w:rsidR="00EF2B45" w:rsidRPr="002F2814" w:rsidRDefault="00D9657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rPr>
            </w:pPr>
            <w:r w:rsidRPr="002F2814">
              <w:rPr>
                <w:rFonts w:ascii="Times New Roman" w:hAnsi="Times New Roman" w:cs="Times New Roman"/>
                <w:sz w:val="24"/>
                <w:szCs w:val="24"/>
              </w:rPr>
              <w:t>декларация/и от председателя/</w:t>
            </w:r>
            <w:proofErr w:type="spellStart"/>
            <w:r w:rsidRPr="002F2814">
              <w:rPr>
                <w:rFonts w:ascii="Times New Roman" w:hAnsi="Times New Roman" w:cs="Times New Roman"/>
                <w:sz w:val="24"/>
                <w:szCs w:val="24"/>
              </w:rPr>
              <w:t>ите</w:t>
            </w:r>
            <w:proofErr w:type="spellEnd"/>
            <w:r w:rsidRPr="002F2814">
              <w:rPr>
                <w:rFonts w:ascii="Times New Roman" w:hAnsi="Times New Roman" w:cs="Times New Roman"/>
                <w:sz w:val="24"/>
                <w:szCs w:val="24"/>
              </w:rPr>
              <w:t xml:space="preserve"> на общинския/те съвет/и, че стратегията за ВОМР е разработена въз основа на местните потребности и потенциал и съответства на политиките на национално, регионално и местно ниво;</w:t>
            </w:r>
          </w:p>
          <w:p w14:paraId="24FE9694" w14:textId="26069D5C" w:rsidR="00EF2B45" w:rsidRPr="007541D6"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rPr>
            </w:pPr>
            <w:r w:rsidRPr="002F2814">
              <w:rPr>
                <w:rFonts w:ascii="Times New Roman" w:hAnsi="Times New Roman" w:cs="Times New Roman"/>
                <w:sz w:val="24"/>
                <w:szCs w:val="24"/>
                <w:shd w:val="clear" w:color="auto" w:fill="FEFEFE"/>
              </w:rPr>
              <w:t xml:space="preserve">декларация </w:t>
            </w:r>
            <w:r w:rsidR="004D2574" w:rsidRPr="002F2814">
              <w:rPr>
                <w:rFonts w:ascii="Times New Roman" w:hAnsi="Times New Roman" w:cs="Times New Roman"/>
                <w:sz w:val="24"/>
                <w:szCs w:val="24"/>
                <w:shd w:val="clear" w:color="auto" w:fill="FEFEFE"/>
              </w:rPr>
              <w:t xml:space="preserve">за липса на основания за отстраняване </w:t>
            </w:r>
            <w:r w:rsidRPr="002F2814">
              <w:rPr>
                <w:rFonts w:ascii="Times New Roman" w:hAnsi="Times New Roman" w:cs="Times New Roman"/>
                <w:sz w:val="24"/>
                <w:szCs w:val="24"/>
                <w:shd w:val="clear" w:color="auto" w:fill="FEFEFE"/>
              </w:rPr>
              <w:t xml:space="preserve">от законния представител на МИГ, от членовете на колективния управителен орган и от представляващите по закон и пълномощие членове на колективния управителен орган на МИГ, когато същите са юридически лица, </w:t>
            </w:r>
            <w:r w:rsidR="00406842" w:rsidRPr="002F2814">
              <w:rPr>
                <w:rFonts w:ascii="Times New Roman" w:hAnsi="Times New Roman" w:cs="Times New Roman"/>
                <w:sz w:val="24"/>
                <w:szCs w:val="24"/>
              </w:rPr>
              <w:t>както и членовете на контролния орган, ако такъв е предвиден в устава на МИГ</w:t>
            </w:r>
            <w:r w:rsidR="00F77BF9" w:rsidRPr="002F2814">
              <w:rPr>
                <w:rFonts w:ascii="Times New Roman" w:hAnsi="Times New Roman" w:cs="Times New Roman"/>
                <w:sz w:val="24"/>
                <w:szCs w:val="24"/>
              </w:rPr>
              <w:t>,</w:t>
            </w:r>
            <w:r w:rsidR="00406842" w:rsidRPr="002F2814">
              <w:rPr>
                <w:rFonts w:ascii="Times New Roman" w:hAnsi="Times New Roman" w:cs="Times New Roman"/>
                <w:sz w:val="24"/>
                <w:szCs w:val="24"/>
                <w:shd w:val="clear" w:color="auto" w:fill="FEFEFE"/>
              </w:rPr>
              <w:t xml:space="preserve"> </w:t>
            </w:r>
            <w:r w:rsidRPr="002F2814">
              <w:rPr>
                <w:rFonts w:ascii="Times New Roman" w:hAnsi="Times New Roman" w:cs="Times New Roman"/>
                <w:sz w:val="24"/>
                <w:szCs w:val="24"/>
                <w:shd w:val="clear" w:color="auto" w:fill="FEFEFE"/>
              </w:rPr>
              <w:t xml:space="preserve">съгласно приложение № </w:t>
            </w:r>
            <w:r w:rsidR="00471DD3">
              <w:rPr>
                <w:rFonts w:ascii="Times New Roman" w:hAnsi="Times New Roman" w:cs="Times New Roman"/>
                <w:sz w:val="24"/>
                <w:szCs w:val="24"/>
                <w:shd w:val="clear" w:color="auto" w:fill="FEFEFE"/>
              </w:rPr>
              <w:t>1</w:t>
            </w:r>
            <w:r w:rsidRPr="002F2814">
              <w:rPr>
                <w:rFonts w:ascii="Times New Roman" w:hAnsi="Times New Roman" w:cs="Times New Roman"/>
                <w:sz w:val="24"/>
                <w:szCs w:val="24"/>
                <w:shd w:val="clear" w:color="auto" w:fill="FEFEFE"/>
              </w:rPr>
              <w:t>;</w:t>
            </w:r>
          </w:p>
          <w:p w14:paraId="705783B1" w14:textId="66CF9A6D" w:rsidR="00F17BB0" w:rsidRPr="007541D6" w:rsidRDefault="00F17BB0"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shd w:val="clear" w:color="auto" w:fill="FEFEFE"/>
              </w:rPr>
              <w:t xml:space="preserve">декларация </w:t>
            </w:r>
            <w:r w:rsidRPr="00F17BB0">
              <w:rPr>
                <w:rFonts w:ascii="Times New Roman" w:hAnsi="Times New Roman" w:cs="Times New Roman"/>
                <w:sz w:val="24"/>
                <w:szCs w:val="24"/>
                <w:shd w:val="clear" w:color="auto" w:fill="FEFEFE"/>
              </w:rPr>
              <w:t xml:space="preserve">за нередности от законния представител на МИГ, от членовете на колективния управителен орган и от представляващите по закон и пълномощие членове на колективния управителен орган на МИГ, когато същите са юридически лица, както и членовете на контролния орган, ако такъв е предвиден в устава на МИГ, както и от изпълнителния директор на МИГ, съгласно приложение № </w:t>
            </w:r>
            <w:r w:rsidR="00471DD3">
              <w:rPr>
                <w:rFonts w:ascii="Times New Roman" w:hAnsi="Times New Roman" w:cs="Times New Roman"/>
                <w:sz w:val="24"/>
                <w:szCs w:val="24"/>
                <w:shd w:val="clear" w:color="auto" w:fill="FEFEFE"/>
              </w:rPr>
              <w:t>6</w:t>
            </w:r>
            <w:r w:rsidR="00E2191C">
              <w:rPr>
                <w:rFonts w:ascii="Times New Roman" w:hAnsi="Times New Roman" w:cs="Times New Roman"/>
                <w:sz w:val="24"/>
                <w:szCs w:val="24"/>
                <w:shd w:val="clear" w:color="auto" w:fill="FEFEFE"/>
              </w:rPr>
              <w:t>;</w:t>
            </w:r>
          </w:p>
          <w:p w14:paraId="44198F64" w14:textId="456436CB" w:rsidR="000F6EF7" w:rsidRPr="002F2814" w:rsidRDefault="000F6EF7"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shd w:val="clear" w:color="auto" w:fill="FEFEFE"/>
              </w:rPr>
              <w:t xml:space="preserve">декларация </w:t>
            </w:r>
            <w:r w:rsidRPr="000F6EF7">
              <w:rPr>
                <w:rFonts w:ascii="Times New Roman" w:hAnsi="Times New Roman" w:cs="Times New Roman"/>
                <w:sz w:val="24"/>
                <w:szCs w:val="24"/>
                <w:shd w:val="clear" w:color="auto" w:fill="FEFEFE"/>
              </w:rPr>
              <w:t xml:space="preserve">за липса на изкуствено създадени условия, подписана от законния представител на МИГ, съгласно приложение № </w:t>
            </w:r>
            <w:r w:rsidR="00471DD3">
              <w:rPr>
                <w:rFonts w:ascii="Times New Roman" w:hAnsi="Times New Roman" w:cs="Times New Roman"/>
                <w:sz w:val="24"/>
                <w:szCs w:val="24"/>
                <w:shd w:val="clear" w:color="auto" w:fill="FEFEFE"/>
              </w:rPr>
              <w:t>7</w:t>
            </w:r>
            <w:r w:rsidR="00E2191C">
              <w:rPr>
                <w:rFonts w:ascii="Times New Roman" w:hAnsi="Times New Roman" w:cs="Times New Roman"/>
                <w:sz w:val="24"/>
                <w:szCs w:val="24"/>
                <w:shd w:val="clear" w:color="auto" w:fill="FEFEFE"/>
              </w:rPr>
              <w:t>;</w:t>
            </w:r>
          </w:p>
          <w:p w14:paraId="519C7BA6" w14:textId="58FD3825" w:rsidR="00EF2B45"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списък на членовете на колективния върховен орган и на колективния управителен орган на МИГ, подписан от представляващия МИГ и съдържащ:</w:t>
            </w:r>
          </w:p>
          <w:p w14:paraId="7B406B77" w14:textId="77777777" w:rsidR="00EF2B45" w:rsidRPr="00FB202F" w:rsidRDefault="00EF2B45" w:rsidP="007541D6">
            <w:pPr>
              <w:pStyle w:val="ListParagraph"/>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а) за юридическите лица: </w:t>
            </w:r>
          </w:p>
          <w:p w14:paraId="71679E1A" w14:textId="77777777" w:rsidR="00EF2B45" w:rsidRPr="00FB202F" w:rsidRDefault="00EF2B45" w:rsidP="007541D6">
            <w:pPr>
              <w:pStyle w:val="ListParagraph"/>
              <w:numPr>
                <w:ilvl w:val="0"/>
                <w:numId w:val="12"/>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наименование на юридическото лице;</w:t>
            </w:r>
          </w:p>
          <w:p w14:paraId="2F293E9D" w14:textId="77777777" w:rsidR="00EF2B45" w:rsidRPr="00FB202F" w:rsidRDefault="00EF2B45" w:rsidP="007541D6">
            <w:pPr>
              <w:pStyle w:val="ListParagraph"/>
              <w:numPr>
                <w:ilvl w:val="0"/>
                <w:numId w:val="12"/>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БУЛСТАТ/ЕИК;</w:t>
            </w:r>
          </w:p>
          <w:p w14:paraId="5C53C78E" w14:textId="6179CF8B" w:rsidR="00EF2B45" w:rsidRPr="00FB202F" w:rsidRDefault="00EF2B45" w:rsidP="007541D6">
            <w:pPr>
              <w:pStyle w:val="ListParagraph"/>
              <w:numPr>
                <w:ilvl w:val="0"/>
                <w:numId w:val="12"/>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седалище и адрес на управление</w:t>
            </w:r>
            <w:r w:rsidR="00C40E0E" w:rsidRPr="00FB202F">
              <w:rPr>
                <w:rFonts w:ascii="Times New Roman" w:hAnsi="Times New Roman" w:cs="Times New Roman"/>
                <w:sz w:val="24"/>
                <w:szCs w:val="24"/>
                <w:shd w:val="clear" w:color="auto" w:fill="FEFEFE"/>
              </w:rPr>
              <w:t xml:space="preserve"> и интернет страница (ако е приложимо)</w:t>
            </w:r>
            <w:r w:rsidRPr="00FB202F">
              <w:rPr>
                <w:rFonts w:ascii="Times New Roman" w:hAnsi="Times New Roman" w:cs="Times New Roman"/>
                <w:sz w:val="24"/>
                <w:szCs w:val="24"/>
                <w:shd w:val="clear" w:color="auto" w:fill="FEFEFE"/>
              </w:rPr>
              <w:t>;</w:t>
            </w:r>
          </w:p>
          <w:p w14:paraId="151B671C" w14:textId="77777777" w:rsidR="00EF2B45" w:rsidRPr="00FB202F" w:rsidRDefault="00EF2B45" w:rsidP="007541D6">
            <w:pPr>
              <w:pStyle w:val="ListParagraph"/>
              <w:numPr>
                <w:ilvl w:val="0"/>
                <w:numId w:val="12"/>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сектор, на който лицето е представител в МИГ;</w:t>
            </w:r>
          </w:p>
          <w:p w14:paraId="574F4C73" w14:textId="77777777" w:rsidR="00EF2B45" w:rsidRPr="00FB202F" w:rsidRDefault="00EF2B45" w:rsidP="007541D6">
            <w:pPr>
              <w:pStyle w:val="ListParagraph"/>
              <w:numPr>
                <w:ilvl w:val="0"/>
                <w:numId w:val="12"/>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заинтересована страна, идентифицирана в анализа на стратегията за ВОМР, включително уязвими групи и малцинства (когато е приложимо), на която лицето е представител;</w:t>
            </w:r>
          </w:p>
          <w:p w14:paraId="1834C939" w14:textId="77777777" w:rsidR="00EF2B45" w:rsidRPr="00FB202F" w:rsidRDefault="00EF2B45" w:rsidP="007541D6">
            <w:pPr>
              <w:pStyle w:val="ListParagraph"/>
              <w:numPr>
                <w:ilvl w:val="0"/>
                <w:numId w:val="12"/>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най-малко две имена (име и фамилия) на представляващия по закон юридическото лице, както и представляващия по пълномощие (ако е приложимо);</w:t>
            </w:r>
          </w:p>
          <w:p w14:paraId="3C184355" w14:textId="77777777" w:rsidR="00EF2B45" w:rsidRPr="00FB202F" w:rsidRDefault="00EF2B45" w:rsidP="007541D6">
            <w:pPr>
              <w:pStyle w:val="ListParagraph"/>
              <w:numPr>
                <w:ilvl w:val="0"/>
                <w:numId w:val="12"/>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данни за контакт (телефон и/или електронен адрес);</w:t>
            </w:r>
          </w:p>
          <w:p w14:paraId="09DBF37E" w14:textId="77777777" w:rsidR="00EF2B45" w:rsidRPr="00FB202F" w:rsidRDefault="00EF2B45" w:rsidP="007541D6">
            <w:pPr>
              <w:pStyle w:val="ListParagraph"/>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б) за физическите лица:</w:t>
            </w:r>
          </w:p>
          <w:p w14:paraId="5618D38E" w14:textId="77777777" w:rsidR="00EF2B45" w:rsidRDefault="00EF2B45" w:rsidP="007541D6">
            <w:pPr>
              <w:pStyle w:val="ListParagraph"/>
              <w:numPr>
                <w:ilvl w:val="0"/>
                <w:numId w:val="13"/>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най-малко две имена (име и фамилия);</w:t>
            </w:r>
          </w:p>
          <w:p w14:paraId="765A711F" w14:textId="5E3F6BA3" w:rsidR="00C13881" w:rsidRPr="00FB202F" w:rsidRDefault="00C13881" w:rsidP="007541D6">
            <w:pPr>
              <w:pStyle w:val="ListParagraph"/>
              <w:numPr>
                <w:ilvl w:val="0"/>
                <w:numId w:val="13"/>
              </w:numPr>
              <w:tabs>
                <w:tab w:val="left" w:pos="1027"/>
              </w:tabs>
              <w:spacing w:line="276" w:lineRule="auto"/>
              <w:ind w:left="0"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Единен граждански номер;</w:t>
            </w:r>
          </w:p>
          <w:p w14:paraId="1178E3ED" w14:textId="77777777" w:rsidR="00EF2B45" w:rsidRPr="00FB202F" w:rsidRDefault="00EF2B45" w:rsidP="007541D6">
            <w:pPr>
              <w:pStyle w:val="ListParagraph"/>
              <w:numPr>
                <w:ilvl w:val="0"/>
                <w:numId w:val="13"/>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данни за постоянен адрес или месторабота;</w:t>
            </w:r>
          </w:p>
          <w:p w14:paraId="65CCBFCE" w14:textId="77777777" w:rsidR="00EF2B45" w:rsidRPr="00FB202F" w:rsidRDefault="00EF2B45" w:rsidP="007541D6">
            <w:pPr>
              <w:pStyle w:val="ListParagraph"/>
              <w:numPr>
                <w:ilvl w:val="0"/>
                <w:numId w:val="13"/>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сектор, на който лицето е представител в МИГ;</w:t>
            </w:r>
          </w:p>
          <w:p w14:paraId="7AE73153" w14:textId="77777777" w:rsidR="00EF2B45" w:rsidRPr="00FB202F" w:rsidRDefault="00EF2B45" w:rsidP="007541D6">
            <w:pPr>
              <w:pStyle w:val="ListParagraph"/>
              <w:numPr>
                <w:ilvl w:val="0"/>
                <w:numId w:val="13"/>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заинтересована страна, идентифицирана в анализа на стратегията за ВОМР, включително уязвими групи и малцинства (когато е приложимо), на която лицето е </w:t>
            </w:r>
            <w:r w:rsidRPr="00FB202F">
              <w:rPr>
                <w:rFonts w:ascii="Times New Roman" w:hAnsi="Times New Roman" w:cs="Times New Roman"/>
                <w:sz w:val="24"/>
                <w:szCs w:val="24"/>
                <w:shd w:val="clear" w:color="auto" w:fill="FEFEFE"/>
              </w:rPr>
              <w:lastRenderedPageBreak/>
              <w:t>представител;</w:t>
            </w:r>
          </w:p>
          <w:p w14:paraId="125C4826" w14:textId="77777777" w:rsidR="00EF2B45" w:rsidRPr="00FB202F" w:rsidRDefault="00EF2B45" w:rsidP="007541D6">
            <w:pPr>
              <w:pStyle w:val="ListParagraph"/>
              <w:numPr>
                <w:ilvl w:val="0"/>
                <w:numId w:val="13"/>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данни за контакт (телефон и/или електронен адрес);</w:t>
            </w:r>
          </w:p>
          <w:p w14:paraId="24AC50D8" w14:textId="77777777" w:rsidR="00EF2B45" w:rsidRDefault="00EF2B45" w:rsidP="007541D6">
            <w:pPr>
              <w:pStyle w:val="ListParagraph"/>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в) дял на отделните сектори – на представителите на публичния, стопанския сектор и нестопанския сектор в колективния върховен орган и в колективния управителен орган на сдружението;</w:t>
            </w:r>
          </w:p>
          <w:p w14:paraId="4B4D221C" w14:textId="5466B28D" w:rsidR="00E83A70" w:rsidRPr="00FB202F" w:rsidRDefault="00E83A70" w:rsidP="00E83A70">
            <w:pPr>
              <w:pStyle w:val="ListParagraph"/>
              <w:numPr>
                <w:ilvl w:val="0"/>
                <w:numId w:val="11"/>
              </w:numPr>
              <w:tabs>
                <w:tab w:val="left" w:pos="1027"/>
              </w:tabs>
              <w:spacing w:line="276" w:lineRule="auto"/>
              <w:ind w:left="0" w:firstLine="567"/>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електронна декларация от законния представляващ на МИГ, която се попълва в ИСУН, с данни за МИГ съгласно приложение </w:t>
            </w:r>
            <w:r>
              <w:rPr>
                <w:rFonts w:ascii="Times New Roman" w:hAnsi="Times New Roman" w:cs="Times New Roman"/>
                <w:sz w:val="24"/>
                <w:szCs w:val="24"/>
                <w:shd w:val="clear" w:color="auto" w:fill="FEFEFE"/>
                <w:lang w:val="en-GB"/>
              </w:rPr>
              <w:t>VII</w:t>
            </w:r>
            <w:r>
              <w:rPr>
                <w:rFonts w:ascii="Times New Roman" w:hAnsi="Times New Roman" w:cs="Times New Roman"/>
                <w:sz w:val="24"/>
                <w:szCs w:val="24"/>
                <w:shd w:val="clear" w:color="auto" w:fill="FEFEFE"/>
              </w:rPr>
              <w:t xml:space="preserve"> от Регламент (ЕС) 2022</w:t>
            </w:r>
            <w:r>
              <w:rPr>
                <w:rFonts w:ascii="Times New Roman" w:hAnsi="Times New Roman" w:cs="Times New Roman"/>
                <w:sz w:val="24"/>
                <w:szCs w:val="24"/>
                <w:shd w:val="clear" w:color="auto" w:fill="FEFEFE"/>
                <w:lang w:val="en-GB"/>
              </w:rPr>
              <w:t>/</w:t>
            </w:r>
            <w:r>
              <w:rPr>
                <w:rFonts w:ascii="Times New Roman" w:hAnsi="Times New Roman" w:cs="Times New Roman"/>
                <w:sz w:val="24"/>
                <w:szCs w:val="24"/>
                <w:shd w:val="clear" w:color="auto" w:fill="FEFEFE"/>
              </w:rPr>
              <w:t>1475. Информацията, която следва да се попълни е посочена в приложение №9 към настоящите условия;</w:t>
            </w:r>
          </w:p>
          <w:p w14:paraId="55B35D18" w14:textId="34E4B32D" w:rsidR="00EF2B45"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удостоверения за постоянен адрес на физическите лица - членове на колективния върховен орган, издадени от съответната община не по-рано от 6 месеца от датата на подаване на формуляра за кандидатстване, или документи, доказващи заетост на територията на действие на МИГ;</w:t>
            </w:r>
          </w:p>
          <w:p w14:paraId="5D0739D5" w14:textId="44BA86C3" w:rsidR="00EF2B45"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решения на органите на юридическите лица, членове на колективния върховен орган, вкл. общини, за членство в МИГ;</w:t>
            </w:r>
          </w:p>
          <w:p w14:paraId="79429198" w14:textId="42D0B045" w:rsidR="00EF2B45"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документи за определяне на лицата, представляващи юридическите лица в органите на МИГ, в т.ч. заповеди, решения, пълномощни </w:t>
            </w:r>
            <w:r w:rsidRPr="00FB202F">
              <w:rPr>
                <w:rFonts w:ascii="Times New Roman" w:hAnsi="Times New Roman" w:cs="Times New Roman"/>
                <w:i/>
                <w:sz w:val="24"/>
                <w:szCs w:val="24"/>
              </w:rPr>
              <w:t>(изисква се за представляващите юридически лица по пълномощие и за представителите на общините);</w:t>
            </w:r>
          </w:p>
          <w:p w14:paraId="4E8BCDC1" w14:textId="5B072134" w:rsidR="00EF2B45"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i/>
                <w:sz w:val="24"/>
                <w:szCs w:val="24"/>
              </w:rPr>
            </w:pPr>
            <w:r w:rsidRPr="00FB202F">
              <w:rPr>
                <w:rFonts w:ascii="Times New Roman" w:hAnsi="Times New Roman" w:cs="Times New Roman"/>
                <w:sz w:val="24"/>
                <w:szCs w:val="24"/>
              </w:rPr>
              <w:t xml:space="preserve">документи, доказващи принадлежността на членовете на органите на МИГ към съответния сектор </w:t>
            </w:r>
            <w:r w:rsidRPr="00FB202F">
              <w:rPr>
                <w:rFonts w:ascii="Times New Roman" w:hAnsi="Times New Roman" w:cs="Times New Roman"/>
                <w:i/>
                <w:sz w:val="24"/>
                <w:szCs w:val="24"/>
              </w:rPr>
              <w:t>(документът не се изисква за юридически лица, регистрирани по Търговския закон или Закона за кооперациите, както и по Закона за юридическите лица с нестопанска цел и Закона за читалищата)</w:t>
            </w:r>
            <w:r w:rsidR="00431CB4" w:rsidRPr="00FB202F">
              <w:rPr>
                <w:rFonts w:ascii="Times New Roman" w:hAnsi="Times New Roman" w:cs="Times New Roman"/>
                <w:i/>
                <w:sz w:val="24"/>
                <w:szCs w:val="24"/>
              </w:rPr>
              <w:t>;</w:t>
            </w:r>
          </w:p>
          <w:p w14:paraId="51A789A1" w14:textId="3B91B570" w:rsidR="00EF2B45"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rPr>
              <w:t>документи, вкл. снимки</w:t>
            </w:r>
            <w:r w:rsidR="00C923F4" w:rsidRPr="00FB202F">
              <w:rPr>
                <w:rFonts w:ascii="Times New Roman" w:hAnsi="Times New Roman" w:cs="Times New Roman"/>
                <w:sz w:val="24"/>
                <w:szCs w:val="24"/>
              </w:rPr>
              <w:t>,</w:t>
            </w:r>
            <w:r w:rsidR="00431CB4" w:rsidRPr="00FB202F">
              <w:rPr>
                <w:rFonts w:ascii="Times New Roman" w:hAnsi="Times New Roman" w:cs="Times New Roman"/>
                <w:sz w:val="24"/>
                <w:szCs w:val="24"/>
              </w:rPr>
              <w:t xml:space="preserve"> видеозаписи</w:t>
            </w:r>
            <w:r w:rsidR="00C923F4" w:rsidRPr="00FB202F">
              <w:rPr>
                <w:rFonts w:ascii="Times New Roman" w:hAnsi="Times New Roman" w:cs="Times New Roman"/>
                <w:sz w:val="24"/>
                <w:szCs w:val="24"/>
              </w:rPr>
              <w:t xml:space="preserve"> (ако е приложимо)</w:t>
            </w:r>
            <w:r w:rsidRPr="00FB202F">
              <w:rPr>
                <w:rFonts w:ascii="Times New Roman" w:hAnsi="Times New Roman" w:cs="Times New Roman"/>
                <w:sz w:val="24"/>
                <w:szCs w:val="24"/>
              </w:rPr>
              <w:t>, доказващи консултиране на проекта на стратегия за ВОМР със заинтересованите страни, както и такива, доказващи представителност на заинтересованите страни, включително уязвими групи и малцинства (когато е приложимо): отделни списъци за участие в обучения, срещи, семинари, конференции и обществени обсъждания, съдържащи поне две имена на участника, данни за адресна регистрация или седалище и адрес на управление на юридическо лице, заинтересована страна, към която лицето се причислява, телефон за контакт и/или електронен адрес (ако е приложимо за електронен адрес) и подпис на участника;</w:t>
            </w:r>
          </w:p>
          <w:p w14:paraId="11CDF582" w14:textId="35928335" w:rsidR="00EF2B45"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писмено споразумение с </w:t>
            </w:r>
            <w:r w:rsidR="00723E6F">
              <w:rPr>
                <w:rFonts w:ascii="Times New Roman" w:hAnsi="Times New Roman" w:cs="Times New Roman"/>
                <w:sz w:val="24"/>
                <w:szCs w:val="24"/>
                <w:shd w:val="clear" w:color="auto" w:fill="FEFEFE"/>
              </w:rPr>
              <w:t xml:space="preserve">всяко едно от </w:t>
            </w:r>
            <w:r w:rsidRPr="00FB202F">
              <w:rPr>
                <w:rFonts w:ascii="Times New Roman" w:hAnsi="Times New Roman" w:cs="Times New Roman"/>
                <w:sz w:val="24"/>
                <w:szCs w:val="24"/>
                <w:shd w:val="clear" w:color="auto" w:fill="FEFEFE"/>
              </w:rPr>
              <w:t>лицата, посочени за позициите изпълнителен директор и експерт</w:t>
            </w:r>
            <w:r w:rsidR="00723E6F">
              <w:rPr>
                <w:rFonts w:ascii="Times New Roman" w:hAnsi="Times New Roman" w:cs="Times New Roman"/>
                <w:sz w:val="24"/>
                <w:szCs w:val="24"/>
                <w:shd w:val="clear" w:color="auto" w:fill="FEFEFE"/>
                <w:lang w:val="en-GB"/>
              </w:rPr>
              <w:t>/</w:t>
            </w:r>
            <w:r w:rsidR="006B49CB" w:rsidRPr="00FB202F">
              <w:rPr>
                <w:rFonts w:ascii="Times New Roman" w:hAnsi="Times New Roman" w:cs="Times New Roman"/>
                <w:sz w:val="24"/>
                <w:szCs w:val="24"/>
                <w:shd w:val="clear" w:color="auto" w:fill="FEFEFE"/>
              </w:rPr>
              <w:t>и</w:t>
            </w:r>
            <w:r w:rsidRPr="00FB202F">
              <w:rPr>
                <w:rFonts w:ascii="Times New Roman" w:hAnsi="Times New Roman" w:cs="Times New Roman"/>
                <w:sz w:val="24"/>
                <w:szCs w:val="24"/>
                <w:shd w:val="clear" w:color="auto" w:fill="FEFEFE"/>
              </w:rPr>
              <w:t xml:space="preserve"> за последващо наемане по трудов договор, в случай на одобрение на формуляра за кандидатстване;</w:t>
            </w:r>
          </w:p>
          <w:p w14:paraId="25503FBD" w14:textId="5FEA5297" w:rsidR="00EF2B45"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документи, доказващи изпълнение на изискванията за изпълнителния директор на МИГ и за експерт</w:t>
            </w:r>
            <w:r w:rsidR="006B49CB" w:rsidRPr="00FB202F">
              <w:rPr>
                <w:rFonts w:ascii="Times New Roman" w:hAnsi="Times New Roman" w:cs="Times New Roman"/>
                <w:sz w:val="24"/>
                <w:szCs w:val="24"/>
                <w:shd w:val="clear" w:color="auto" w:fill="FEFEFE"/>
              </w:rPr>
              <w:t>ите</w:t>
            </w:r>
            <w:r w:rsidRPr="00FB202F">
              <w:rPr>
                <w:rFonts w:ascii="Times New Roman" w:hAnsi="Times New Roman" w:cs="Times New Roman"/>
                <w:sz w:val="24"/>
                <w:szCs w:val="24"/>
                <w:shd w:val="clear" w:color="auto" w:fill="FEFEFE"/>
              </w:rPr>
              <w:t xml:space="preserve"> по прилагане на стратегията за ВОМР, както и документи за допълнителния им опит (когато е приложимо);</w:t>
            </w:r>
          </w:p>
          <w:p w14:paraId="1F2A69CE" w14:textId="3B6F60F1" w:rsidR="00EF2B45" w:rsidRPr="0060581B"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длъжностни характеристики за позициите „изпълнителен директор на МИГ“</w:t>
            </w:r>
            <w:r w:rsidR="00C37611" w:rsidRPr="00FB202F">
              <w:rPr>
                <w:rFonts w:ascii="Times New Roman" w:hAnsi="Times New Roman" w:cs="Times New Roman"/>
                <w:sz w:val="24"/>
                <w:szCs w:val="24"/>
                <w:shd w:val="clear" w:color="auto" w:fill="FEFEFE"/>
              </w:rPr>
              <w:t xml:space="preserve"> и</w:t>
            </w:r>
            <w:r w:rsidRPr="00FB202F">
              <w:rPr>
                <w:rFonts w:ascii="Times New Roman" w:hAnsi="Times New Roman" w:cs="Times New Roman"/>
                <w:sz w:val="24"/>
                <w:szCs w:val="24"/>
                <w:shd w:val="clear" w:color="auto" w:fill="FEFEFE"/>
              </w:rPr>
              <w:t xml:space="preserve"> </w:t>
            </w:r>
            <w:r w:rsidR="00C37611" w:rsidRPr="00FB202F">
              <w:rPr>
                <w:rFonts w:ascii="Times New Roman" w:hAnsi="Times New Roman" w:cs="Times New Roman"/>
                <w:sz w:val="24"/>
                <w:szCs w:val="24"/>
                <w:shd w:val="clear" w:color="auto" w:fill="FEFEFE"/>
              </w:rPr>
              <w:t xml:space="preserve"> </w:t>
            </w:r>
            <w:r w:rsidRPr="00FB202F">
              <w:rPr>
                <w:rFonts w:ascii="Times New Roman" w:hAnsi="Times New Roman" w:cs="Times New Roman"/>
                <w:sz w:val="24"/>
                <w:szCs w:val="24"/>
                <w:shd w:val="clear" w:color="auto" w:fill="FEFEFE"/>
              </w:rPr>
              <w:t xml:space="preserve">„експерт по </w:t>
            </w:r>
            <w:r w:rsidRPr="0060581B">
              <w:rPr>
                <w:rFonts w:ascii="Times New Roman" w:hAnsi="Times New Roman" w:cs="Times New Roman"/>
                <w:sz w:val="24"/>
                <w:szCs w:val="24"/>
                <w:shd w:val="clear" w:color="auto" w:fill="FEFEFE"/>
              </w:rPr>
              <w:t>прилагане на стратегията за ВОМР“;</w:t>
            </w:r>
          </w:p>
          <w:p w14:paraId="3929D582" w14:textId="3096D281" w:rsidR="00EF2B45" w:rsidRPr="0060581B"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shd w:val="clear" w:color="auto" w:fill="FEFEFE"/>
              </w:rPr>
            </w:pPr>
            <w:r w:rsidRPr="002F2814">
              <w:rPr>
                <w:rFonts w:ascii="Times New Roman" w:hAnsi="Times New Roman" w:cs="Times New Roman"/>
                <w:sz w:val="24"/>
                <w:szCs w:val="24"/>
                <w:shd w:val="clear" w:color="auto" w:fill="FEFEFE"/>
              </w:rPr>
              <w:t xml:space="preserve">декларации от </w:t>
            </w:r>
            <w:r w:rsidR="009A6F6B" w:rsidRPr="002F2814">
              <w:rPr>
                <w:rFonts w:ascii="Times New Roman" w:hAnsi="Times New Roman" w:cs="Times New Roman"/>
                <w:sz w:val="24"/>
                <w:szCs w:val="24"/>
                <w:shd w:val="clear" w:color="auto" w:fill="FEFEFE"/>
              </w:rPr>
              <w:t>лицата, посочени за позициите изпълнителен директор и експерт</w:t>
            </w:r>
            <w:r w:rsidR="00797043" w:rsidRPr="002F2814">
              <w:rPr>
                <w:rFonts w:ascii="Times New Roman" w:hAnsi="Times New Roman" w:cs="Times New Roman"/>
                <w:sz w:val="24"/>
                <w:szCs w:val="24"/>
                <w:shd w:val="clear" w:color="auto" w:fill="FEFEFE"/>
              </w:rPr>
              <w:t>/</w:t>
            </w:r>
            <w:r w:rsidR="009A6F6B" w:rsidRPr="002F2814">
              <w:rPr>
                <w:rFonts w:ascii="Times New Roman" w:hAnsi="Times New Roman" w:cs="Times New Roman"/>
                <w:sz w:val="24"/>
                <w:szCs w:val="24"/>
                <w:shd w:val="clear" w:color="auto" w:fill="FEFEFE"/>
              </w:rPr>
              <w:t>и</w:t>
            </w:r>
            <w:r w:rsidRPr="002F2814">
              <w:rPr>
                <w:rFonts w:ascii="Times New Roman" w:hAnsi="Times New Roman" w:cs="Times New Roman"/>
                <w:sz w:val="24"/>
                <w:szCs w:val="24"/>
                <w:shd w:val="clear" w:color="auto" w:fill="FEFEFE"/>
              </w:rPr>
              <w:t xml:space="preserve"> на МИГ съгласно приложение №</w:t>
            </w:r>
            <w:r w:rsidR="00E2191C">
              <w:rPr>
                <w:rFonts w:ascii="Times New Roman" w:hAnsi="Times New Roman" w:cs="Times New Roman"/>
                <w:sz w:val="24"/>
                <w:szCs w:val="24"/>
                <w:shd w:val="clear" w:color="auto" w:fill="FEFEFE"/>
              </w:rPr>
              <w:t xml:space="preserve"> </w:t>
            </w:r>
            <w:r w:rsidR="00471DD3">
              <w:rPr>
                <w:rFonts w:ascii="Times New Roman" w:hAnsi="Times New Roman" w:cs="Times New Roman"/>
                <w:sz w:val="24"/>
                <w:szCs w:val="24"/>
                <w:shd w:val="clear" w:color="auto" w:fill="FEFEFE"/>
              </w:rPr>
              <w:t>8</w:t>
            </w:r>
            <w:r w:rsidRPr="0060581B">
              <w:rPr>
                <w:rFonts w:ascii="Times New Roman" w:hAnsi="Times New Roman" w:cs="Times New Roman"/>
                <w:sz w:val="24"/>
                <w:szCs w:val="24"/>
                <w:shd w:val="clear" w:color="auto" w:fill="FEFEFE"/>
              </w:rPr>
              <w:t>;</w:t>
            </w:r>
          </w:p>
          <w:p w14:paraId="14F0B59E" w14:textId="4668D769" w:rsidR="00EF2B45"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shd w:val="clear" w:color="auto" w:fill="FEFEFE"/>
              </w:rPr>
            </w:pPr>
            <w:r w:rsidRPr="002F2814">
              <w:rPr>
                <w:rFonts w:ascii="Times New Roman" w:hAnsi="Times New Roman" w:cs="Times New Roman"/>
                <w:sz w:val="24"/>
                <w:szCs w:val="24"/>
                <w:shd w:val="clear" w:color="auto" w:fill="FEFEFE"/>
              </w:rPr>
              <w:t>документ, удостоверяващ наличие на правно основание за предоставяне на самостоятелен офис, съдържащ описание на</w:t>
            </w:r>
            <w:r w:rsidRPr="00FB202F">
              <w:rPr>
                <w:rFonts w:ascii="Times New Roman" w:hAnsi="Times New Roman" w:cs="Times New Roman"/>
                <w:sz w:val="24"/>
                <w:szCs w:val="24"/>
                <w:shd w:val="clear" w:color="auto" w:fill="FEFEFE"/>
              </w:rPr>
              <w:t xml:space="preserve"> помещени</w:t>
            </w:r>
            <w:r w:rsidR="002E05BA">
              <w:rPr>
                <w:rFonts w:ascii="Times New Roman" w:hAnsi="Times New Roman" w:cs="Times New Roman"/>
                <w:sz w:val="24"/>
                <w:szCs w:val="24"/>
                <w:shd w:val="clear" w:color="auto" w:fill="FEFEFE"/>
              </w:rPr>
              <w:t>ето</w:t>
            </w:r>
            <w:r w:rsidR="002E05BA">
              <w:rPr>
                <w:rFonts w:ascii="Times New Roman" w:hAnsi="Times New Roman" w:cs="Times New Roman"/>
                <w:sz w:val="24"/>
                <w:szCs w:val="24"/>
                <w:shd w:val="clear" w:color="auto" w:fill="FEFEFE"/>
                <w:lang w:val="en-GB"/>
              </w:rPr>
              <w:t>/</w:t>
            </w:r>
            <w:r w:rsidRPr="00FB202F">
              <w:rPr>
                <w:rFonts w:ascii="Times New Roman" w:hAnsi="Times New Roman" w:cs="Times New Roman"/>
                <w:sz w:val="24"/>
                <w:szCs w:val="24"/>
                <w:shd w:val="clear" w:color="auto" w:fill="FEFEFE"/>
              </w:rPr>
              <w:t>ята;</w:t>
            </w:r>
          </w:p>
          <w:p w14:paraId="71743C9F" w14:textId="1B65CD86" w:rsidR="00EF2B45"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документи и/или снимки с приложени обяснителни бележки, удостоверяващи че </w:t>
            </w:r>
            <w:r w:rsidRPr="00FB202F">
              <w:rPr>
                <w:rFonts w:ascii="Times New Roman" w:hAnsi="Times New Roman" w:cs="Times New Roman"/>
                <w:sz w:val="24"/>
                <w:szCs w:val="24"/>
                <w:shd w:val="clear" w:color="auto" w:fill="FEFEFE"/>
              </w:rPr>
              <w:lastRenderedPageBreak/>
              <w:t xml:space="preserve">офисът на МИГ е с осигурен достъп за </w:t>
            </w:r>
            <w:r w:rsidR="007A2F9B">
              <w:rPr>
                <w:rFonts w:ascii="Times New Roman" w:hAnsi="Times New Roman" w:cs="Times New Roman"/>
                <w:sz w:val="24"/>
                <w:szCs w:val="24"/>
                <w:shd w:val="clear" w:color="auto" w:fill="FEFEFE"/>
              </w:rPr>
              <w:t xml:space="preserve">хора с увреждания </w:t>
            </w:r>
            <w:r w:rsidRPr="00FB202F">
              <w:rPr>
                <w:rFonts w:ascii="Times New Roman" w:hAnsi="Times New Roman" w:cs="Times New Roman"/>
                <w:sz w:val="24"/>
                <w:szCs w:val="24"/>
                <w:shd w:val="clear" w:color="auto" w:fill="FEFEFE"/>
              </w:rPr>
              <w:t>и трудно подвижни лица;</w:t>
            </w:r>
          </w:p>
          <w:p w14:paraId="134691E1" w14:textId="2B8A57DC" w:rsidR="00EF2B45"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документи, удостоверяващи наличието на офис оборудване и техника (принтер, оборудвани работни места и компютри, съответстващи на броя на осигурените служители);</w:t>
            </w:r>
          </w:p>
          <w:p w14:paraId="4CF79D3C" w14:textId="75596604" w:rsidR="00EF2B45"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документи, доказващи </w:t>
            </w:r>
            <w:r w:rsidR="0050353C" w:rsidRPr="00FB202F">
              <w:rPr>
                <w:rFonts w:ascii="Times New Roman" w:hAnsi="Times New Roman" w:cs="Times New Roman"/>
                <w:sz w:val="24"/>
                <w:szCs w:val="24"/>
                <w:shd w:val="clear" w:color="auto" w:fill="FEFEFE"/>
              </w:rPr>
              <w:t xml:space="preserve">наличие на </w:t>
            </w:r>
            <w:r w:rsidRPr="00FB202F">
              <w:rPr>
                <w:rFonts w:ascii="Times New Roman" w:hAnsi="Times New Roman" w:cs="Times New Roman"/>
                <w:sz w:val="24"/>
                <w:szCs w:val="24"/>
                <w:shd w:val="clear" w:color="auto" w:fill="FEFEFE"/>
              </w:rPr>
              <w:t>опит на колективния управителен орган (ако е приложимо);</w:t>
            </w:r>
          </w:p>
          <w:p w14:paraId="5257D732" w14:textId="01AB9228" w:rsidR="00EF2B45"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други документи, доказващи опит на МИГ, необходими за присъждане на точки по критериите за оценка (ако е приложимо);</w:t>
            </w:r>
          </w:p>
          <w:p w14:paraId="0EE76F2F" w14:textId="2E12AED2" w:rsidR="00EF2B45"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документ, доказващ наличие на финансов ресурс за изпълнение на стратегията (ако е приложимо);</w:t>
            </w:r>
          </w:p>
          <w:p w14:paraId="3FCA558D" w14:textId="1DC9812A" w:rsidR="00F279F2" w:rsidRPr="00FB202F" w:rsidRDefault="00F279F2"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други документи, необходими за присъждане на точки по критериите за оценка</w:t>
            </w:r>
            <w:r w:rsidR="00DC4EC1">
              <w:rPr>
                <w:rFonts w:ascii="Times New Roman" w:hAnsi="Times New Roman" w:cs="Times New Roman"/>
                <w:sz w:val="24"/>
                <w:szCs w:val="24"/>
                <w:shd w:val="clear" w:color="auto" w:fill="FEFEFE"/>
              </w:rPr>
              <w:t xml:space="preserve"> по преценка на МИГ</w:t>
            </w:r>
            <w:r w:rsidRPr="00FB202F">
              <w:rPr>
                <w:rFonts w:ascii="Times New Roman" w:hAnsi="Times New Roman" w:cs="Times New Roman"/>
                <w:sz w:val="24"/>
                <w:szCs w:val="24"/>
                <w:shd w:val="clear" w:color="auto" w:fill="FEFEFE"/>
              </w:rPr>
              <w:t xml:space="preserve"> (ако е приложимо)</w:t>
            </w:r>
            <w:r w:rsidR="00DC4EC1">
              <w:rPr>
                <w:rFonts w:ascii="Times New Roman" w:hAnsi="Times New Roman" w:cs="Times New Roman"/>
                <w:sz w:val="24"/>
                <w:szCs w:val="24"/>
                <w:shd w:val="clear" w:color="auto" w:fill="FEFEFE"/>
              </w:rPr>
              <w:t>;</w:t>
            </w:r>
          </w:p>
          <w:p w14:paraId="6FBFAFB5" w14:textId="566CEEB0" w:rsidR="00D522C6" w:rsidRPr="00FB202F" w:rsidRDefault="00EF2B45" w:rsidP="007541D6">
            <w:pPr>
              <w:pStyle w:val="ListParagraph"/>
              <w:numPr>
                <w:ilvl w:val="0"/>
                <w:numId w:val="11"/>
              </w:numPr>
              <w:tabs>
                <w:tab w:val="left" w:pos="1027"/>
              </w:tabs>
              <w:spacing w:line="276" w:lineRule="auto"/>
              <w:ind w:left="0" w:firstLine="567"/>
              <w:jc w:val="both"/>
              <w:rPr>
                <w:rFonts w:ascii="Times New Roman" w:hAnsi="Times New Roman" w:cs="Times New Roman"/>
                <w:sz w:val="24"/>
                <w:szCs w:val="24"/>
              </w:rPr>
            </w:pPr>
            <w:r w:rsidRPr="00FB202F">
              <w:rPr>
                <w:rFonts w:ascii="Times New Roman" w:hAnsi="Times New Roman" w:cs="Times New Roman"/>
                <w:sz w:val="24"/>
                <w:szCs w:val="24"/>
                <w:shd w:val="clear" w:color="auto" w:fill="FEFEFE"/>
              </w:rPr>
              <w:t>проучвания и анализи на територията, изготвени при подготовката на стратегията за ВОМ</w:t>
            </w:r>
            <w:r w:rsidR="00D522C6" w:rsidRPr="00FB202F">
              <w:rPr>
                <w:rFonts w:ascii="Times New Roman" w:hAnsi="Times New Roman" w:cs="Times New Roman"/>
                <w:sz w:val="24"/>
                <w:szCs w:val="24"/>
                <w:shd w:val="clear" w:color="auto" w:fill="FEFEFE"/>
              </w:rPr>
              <w:t>Р.</w:t>
            </w:r>
          </w:p>
          <w:p w14:paraId="23F4164B" w14:textId="5C169009" w:rsidR="00D522C6" w:rsidRPr="00FB202F" w:rsidRDefault="00D522C6"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Документите се представят на български език. </w:t>
            </w:r>
            <w:r w:rsidR="00DF3184" w:rsidRPr="00FB202F">
              <w:rPr>
                <w:rFonts w:ascii="Times New Roman" w:hAnsi="Times New Roman" w:cs="Times New Roman"/>
                <w:sz w:val="24"/>
                <w:szCs w:val="24"/>
                <w:shd w:val="clear" w:color="auto" w:fill="FEFEFE"/>
              </w:rPr>
              <w:t xml:space="preserve">Оригиналите на документите се съхраняват от МИГ и следва да могат да бъдат представени от МИГ при поискване. </w:t>
            </w:r>
            <w:r w:rsidRPr="00FB202F">
              <w:rPr>
                <w:rFonts w:ascii="Times New Roman" w:hAnsi="Times New Roman" w:cs="Times New Roman"/>
                <w:sz w:val="24"/>
                <w:szCs w:val="24"/>
                <w:shd w:val="clear" w:color="auto" w:fill="FEFEFE"/>
              </w:rPr>
              <w:t xml:space="preserve">В случаите,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той трябва да бъде легализиран или с </w:t>
            </w:r>
            <w:proofErr w:type="spellStart"/>
            <w:r w:rsidRPr="00FB202F">
              <w:rPr>
                <w:rFonts w:ascii="Times New Roman" w:hAnsi="Times New Roman" w:cs="Times New Roman"/>
                <w:sz w:val="24"/>
                <w:szCs w:val="24"/>
                <w:shd w:val="clear" w:color="auto" w:fill="FEFEFE"/>
              </w:rPr>
              <w:t>апостил</w:t>
            </w:r>
            <w:proofErr w:type="spellEnd"/>
            <w:r w:rsidRPr="00FB202F">
              <w:rPr>
                <w:rFonts w:ascii="Times New Roman" w:hAnsi="Times New Roman" w:cs="Times New Roman"/>
                <w:sz w:val="24"/>
                <w:szCs w:val="24"/>
                <w:shd w:val="clear" w:color="auto" w:fill="FEFEFE"/>
              </w:rPr>
              <w:t>.</w:t>
            </w:r>
          </w:p>
          <w:p w14:paraId="5C188174" w14:textId="77777777" w:rsidR="00D522C6" w:rsidRPr="00FB202F" w:rsidRDefault="00D522C6"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Формулярът за кандидатстване и приложените към него документи могат да бъдат изцяло или частично оттеглени в писмена форма до издаване на заповедта за одобрение/отказ на МИГ</w:t>
            </w:r>
            <w:r w:rsidRPr="00FB202F">
              <w:rPr>
                <w:rFonts w:ascii="Times New Roman" w:hAnsi="Times New Roman" w:cs="Times New Roman"/>
                <w:i/>
                <w:sz w:val="24"/>
                <w:szCs w:val="24"/>
                <w:shd w:val="clear" w:color="auto" w:fill="FEFEFE"/>
              </w:rPr>
              <w:t>.</w:t>
            </w:r>
            <w:r w:rsidRPr="00FB202F">
              <w:rPr>
                <w:rFonts w:ascii="Times New Roman" w:hAnsi="Times New Roman" w:cs="Times New Roman"/>
                <w:sz w:val="24"/>
                <w:szCs w:val="24"/>
                <w:shd w:val="clear" w:color="auto" w:fill="FEFEFE"/>
              </w:rPr>
              <w:t xml:space="preserve"> Няма да се допусне оттегляне на кандидатура, когато МИГ е уведомена от комитета за подбор за наличие на несъответствие и/или нередност в документите или когато МИГ е уведомена за намерението на Министерството на земеделието и храните да се извърши посещение на място, или когато при посещението на място се установи нередност, по отношение на документите, засегнати от нередността. В този случай кандидатът ще бъде уведомен писмено за отказ на направеното искане за оттегляне.</w:t>
            </w:r>
          </w:p>
          <w:p w14:paraId="332B148F" w14:textId="1AD54AB7" w:rsidR="00D522C6" w:rsidRPr="00FB202F" w:rsidRDefault="00D522C6"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 xml:space="preserve">При оттегляне на </w:t>
            </w:r>
            <w:r w:rsidR="00DF3184" w:rsidRPr="00FB202F">
              <w:rPr>
                <w:rFonts w:ascii="Times New Roman" w:hAnsi="Times New Roman" w:cs="Times New Roman"/>
                <w:sz w:val="24"/>
                <w:szCs w:val="24"/>
                <w:shd w:val="clear" w:color="auto" w:fill="FEFEFE"/>
              </w:rPr>
              <w:t>формуляра</w:t>
            </w:r>
            <w:r w:rsidRPr="00FB202F">
              <w:rPr>
                <w:rFonts w:ascii="Times New Roman" w:hAnsi="Times New Roman" w:cs="Times New Roman"/>
                <w:sz w:val="24"/>
                <w:szCs w:val="24"/>
                <w:shd w:val="clear" w:color="auto" w:fill="FEFEFE"/>
              </w:rPr>
              <w:t xml:space="preserve">, образуваното административно производство се прекратява, а кандидатът има право да подаде нов формуляр за кандидатстване, ако е обявен нов период на прием по </w:t>
            </w:r>
            <w:r w:rsidR="00651B08" w:rsidRPr="00FB202F">
              <w:rPr>
                <w:rFonts w:ascii="Times New Roman" w:hAnsi="Times New Roman" w:cs="Times New Roman"/>
                <w:sz w:val="24"/>
                <w:szCs w:val="24"/>
                <w:shd w:val="clear" w:color="auto" w:fill="FEFEFE"/>
              </w:rPr>
              <w:t>интервенцията</w:t>
            </w:r>
            <w:r w:rsidRPr="00FB202F">
              <w:rPr>
                <w:rFonts w:ascii="Times New Roman" w:hAnsi="Times New Roman" w:cs="Times New Roman"/>
                <w:sz w:val="24"/>
                <w:szCs w:val="24"/>
                <w:shd w:val="clear" w:color="auto" w:fill="FEFEFE"/>
              </w:rPr>
              <w:t xml:space="preserve"> или обявеният срок на прием не е изтекъл.</w:t>
            </w:r>
          </w:p>
          <w:p w14:paraId="16C08E7D" w14:textId="77777777" w:rsidR="00D522C6" w:rsidRPr="00FB202F" w:rsidRDefault="00D522C6" w:rsidP="007541D6">
            <w:pPr>
              <w:spacing w:line="276" w:lineRule="auto"/>
              <w:ind w:firstLine="567"/>
              <w:jc w:val="both"/>
              <w:rPr>
                <w:rFonts w:ascii="Times New Roman" w:hAnsi="Times New Roman" w:cs="Times New Roman"/>
                <w:sz w:val="24"/>
                <w:szCs w:val="24"/>
                <w:shd w:val="clear" w:color="auto" w:fill="FEFEFE"/>
              </w:rPr>
            </w:pPr>
            <w:r w:rsidRPr="00FB202F">
              <w:rPr>
                <w:rFonts w:ascii="Times New Roman" w:hAnsi="Times New Roman" w:cs="Times New Roman"/>
                <w:sz w:val="24"/>
                <w:szCs w:val="24"/>
                <w:shd w:val="clear" w:color="auto" w:fill="FEFEFE"/>
              </w:rPr>
              <w:t>Формулярът за кандидатстване и приложените към него документи могат да бъдат коригирани по всяко време след подаването им в случай на очевидни грешки, признати от комитета за подбор въз основа на цялостна преценка на конкретния случай и при условие, че кандидатът е действал добросъвестно.</w:t>
            </w:r>
          </w:p>
          <w:p w14:paraId="74271165" w14:textId="77777777" w:rsidR="00D522C6" w:rsidRPr="00FB202F" w:rsidRDefault="00D522C6" w:rsidP="007541D6">
            <w:pPr>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Когато в хода на оценката се установи липса на документи и/или неяснота, или неточност на представените документи, председателят на комитета за подбор ще уведомява МИГ, която в срок до 10 работни дни от датата на уведомяването може да представи допълнителна информация и/или документи. </w:t>
            </w:r>
          </w:p>
          <w:p w14:paraId="19D3548B" w14:textId="6B8973C1" w:rsidR="00D522C6" w:rsidRPr="00FB202F" w:rsidRDefault="00D522C6" w:rsidP="007541D6">
            <w:pPr>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Уведомленията за установени липс</w:t>
            </w:r>
            <w:r w:rsidR="001053B3" w:rsidRPr="00FB202F">
              <w:rPr>
                <w:rFonts w:ascii="Times New Roman" w:hAnsi="Times New Roman" w:cs="Times New Roman"/>
                <w:sz w:val="24"/>
                <w:szCs w:val="24"/>
              </w:rPr>
              <w:t>и</w:t>
            </w:r>
            <w:r w:rsidRPr="00FB202F">
              <w:rPr>
                <w:rFonts w:ascii="Times New Roman" w:hAnsi="Times New Roman" w:cs="Times New Roman"/>
                <w:sz w:val="24"/>
                <w:szCs w:val="24"/>
              </w:rPr>
              <w:t xml:space="preserve"> на документи и/или неяснота, или неточност на представените документи</w:t>
            </w:r>
            <w:r w:rsidR="001053B3" w:rsidRPr="00FB202F">
              <w:rPr>
                <w:rFonts w:ascii="Times New Roman" w:hAnsi="Times New Roman" w:cs="Times New Roman"/>
                <w:sz w:val="24"/>
                <w:szCs w:val="24"/>
              </w:rPr>
              <w:t>,</w:t>
            </w:r>
            <w:r w:rsidRPr="00FB202F">
              <w:rPr>
                <w:rFonts w:ascii="Times New Roman" w:hAnsi="Times New Roman" w:cs="Times New Roman"/>
                <w:sz w:val="24"/>
                <w:szCs w:val="24"/>
              </w:rPr>
              <w:t xml:space="preserve"> ще се изпращат през ИСУН чрез електронния профил на кандидата, като кандидатът ще бъде известяван чрез електронния адрес, асоцииран към неговия профил. За дата на получаване на уведомленията се счита датата на изпратеното чрез ИСУН уведомление. Срокът за отстраняване на неяснотите или неточностите започва да тече </w:t>
            </w:r>
            <w:r w:rsidRPr="00FB202F">
              <w:rPr>
                <w:rFonts w:ascii="Times New Roman" w:hAnsi="Times New Roman" w:cs="Times New Roman"/>
                <w:sz w:val="24"/>
                <w:szCs w:val="24"/>
              </w:rPr>
              <w:lastRenderedPageBreak/>
              <w:t xml:space="preserve">от деня, следващ датата на изпращане на уведомлението. </w:t>
            </w:r>
          </w:p>
          <w:p w14:paraId="4E30594D" w14:textId="67CF8E94" w:rsidR="001B592F" w:rsidRDefault="00D522C6" w:rsidP="007541D6">
            <w:pPr>
              <w:spacing w:line="276" w:lineRule="auto"/>
              <w:ind w:firstLine="567"/>
              <w:jc w:val="both"/>
              <w:rPr>
                <w:rFonts w:ascii="Times New Roman" w:hAnsi="Times New Roman" w:cs="Times New Roman"/>
                <w:sz w:val="24"/>
                <w:szCs w:val="24"/>
              </w:rPr>
            </w:pPr>
            <w:r w:rsidRPr="00FB202F">
              <w:rPr>
                <w:rFonts w:ascii="Times New Roman" w:hAnsi="Times New Roman" w:cs="Times New Roman"/>
                <w:sz w:val="24"/>
                <w:szCs w:val="24"/>
              </w:rPr>
              <w:t xml:space="preserve">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w:t>
            </w:r>
            <w:r w:rsidR="009C19D8" w:rsidRPr="00FB202F">
              <w:rPr>
                <w:rFonts w:ascii="Times New Roman" w:hAnsi="Times New Roman" w:cs="Times New Roman"/>
                <w:sz w:val="24"/>
                <w:szCs w:val="24"/>
              </w:rPr>
              <w:t>проектното предложение</w:t>
            </w:r>
            <w:r w:rsidRPr="00FB202F">
              <w:rPr>
                <w:rFonts w:ascii="Times New Roman" w:hAnsi="Times New Roman" w:cs="Times New Roman"/>
                <w:sz w:val="24"/>
                <w:szCs w:val="24"/>
              </w:rPr>
              <w:t>.</w:t>
            </w:r>
          </w:p>
          <w:p w14:paraId="74E51A37" w14:textId="79CEDD3D" w:rsidR="003935EC" w:rsidRPr="00FB202F" w:rsidRDefault="00D522C6" w:rsidP="007541D6">
            <w:pPr>
              <w:spacing w:line="276" w:lineRule="auto"/>
              <w:ind w:firstLine="567"/>
              <w:jc w:val="both"/>
              <w:rPr>
                <w:rFonts w:ascii="Times New Roman" w:hAnsi="Times New Roman" w:cs="Times New Roman"/>
                <w:sz w:val="24"/>
                <w:szCs w:val="24"/>
                <w:highlight w:val="yellow"/>
              </w:rPr>
            </w:pPr>
            <w:r w:rsidRPr="00FB202F">
              <w:rPr>
                <w:rFonts w:ascii="Times New Roman" w:hAnsi="Times New Roman" w:cs="Times New Roman"/>
                <w:sz w:val="24"/>
                <w:szCs w:val="24"/>
              </w:rPr>
              <w:t xml:space="preserve">Всяка информация, предоставена извън официално изисканата от </w:t>
            </w:r>
            <w:r w:rsidR="001E1DE3">
              <w:rPr>
                <w:rFonts w:ascii="Times New Roman" w:hAnsi="Times New Roman" w:cs="Times New Roman"/>
                <w:sz w:val="24"/>
                <w:szCs w:val="24"/>
              </w:rPr>
              <w:t>к</w:t>
            </w:r>
            <w:r w:rsidRPr="00FB202F">
              <w:rPr>
                <w:rFonts w:ascii="Times New Roman" w:hAnsi="Times New Roman" w:cs="Times New Roman"/>
                <w:sz w:val="24"/>
                <w:szCs w:val="24"/>
              </w:rPr>
              <w:t xml:space="preserve">омитета за подбор, няма да бъде взимана под внимание. По изключение кандидатът може да предостави информация с уведомителен характер (напр. промяна в адреса за кореспонденция, лице,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 </w:t>
            </w:r>
            <w:r w:rsidR="001053B3" w:rsidRPr="00FB202F">
              <w:rPr>
                <w:rFonts w:ascii="Times New Roman" w:hAnsi="Times New Roman" w:cs="Times New Roman"/>
                <w:sz w:val="24"/>
                <w:szCs w:val="24"/>
              </w:rPr>
              <w:t xml:space="preserve"> </w:t>
            </w:r>
            <w:r w:rsidRPr="00FB202F">
              <w:rPr>
                <w:rFonts w:ascii="Times New Roman" w:hAnsi="Times New Roman" w:cs="Times New Roman"/>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p>
        </w:tc>
      </w:tr>
    </w:tbl>
    <w:p w14:paraId="6B8E6755" w14:textId="77777777" w:rsidR="003935EC" w:rsidRPr="00FB202F" w:rsidRDefault="003935EC" w:rsidP="00044F85">
      <w:pPr>
        <w:tabs>
          <w:tab w:val="left" w:pos="0"/>
          <w:tab w:val="left" w:pos="709"/>
        </w:tabs>
        <w:spacing w:after="0"/>
        <w:ind w:firstLine="567"/>
        <w:contextualSpacing/>
        <w:jc w:val="both"/>
        <w:rPr>
          <w:rFonts w:ascii="Times New Roman" w:hAnsi="Times New Roman" w:cs="Times New Roman"/>
          <w:sz w:val="24"/>
          <w:szCs w:val="24"/>
          <w:highlight w:val="yellow"/>
        </w:rPr>
      </w:pPr>
    </w:p>
    <w:tbl>
      <w:tblPr>
        <w:tblStyle w:val="TableGrid"/>
        <w:tblW w:w="9923" w:type="dxa"/>
        <w:tblInd w:w="-34" w:type="dxa"/>
        <w:tblLook w:val="04A0" w:firstRow="1" w:lastRow="0" w:firstColumn="1" w:lastColumn="0" w:noHBand="0" w:noVBand="1"/>
      </w:tblPr>
      <w:tblGrid>
        <w:gridCol w:w="9923"/>
      </w:tblGrid>
      <w:tr w:rsidR="00FB202F" w:rsidRPr="002F2814" w14:paraId="5122E7F9" w14:textId="77777777" w:rsidTr="000D7565">
        <w:tc>
          <w:tcPr>
            <w:tcW w:w="9923" w:type="dxa"/>
          </w:tcPr>
          <w:p w14:paraId="511F1DD1" w14:textId="77777777" w:rsidR="003935EC" w:rsidRPr="002F2814" w:rsidRDefault="003935EC" w:rsidP="007541D6">
            <w:pPr>
              <w:tabs>
                <w:tab w:val="left" w:pos="0"/>
                <w:tab w:val="left" w:pos="709"/>
              </w:tabs>
              <w:spacing w:line="276" w:lineRule="auto"/>
              <w:ind w:firstLine="567"/>
              <w:jc w:val="both"/>
              <w:rPr>
                <w:rFonts w:ascii="Times New Roman" w:hAnsi="Times New Roman" w:cs="Times New Roman"/>
                <w:b/>
                <w:sz w:val="24"/>
                <w:szCs w:val="24"/>
              </w:rPr>
            </w:pPr>
            <w:r w:rsidRPr="0060581B">
              <w:rPr>
                <w:rFonts w:ascii="Times New Roman" w:hAnsi="Times New Roman" w:cs="Times New Roman"/>
                <w:b/>
                <w:sz w:val="24"/>
                <w:szCs w:val="24"/>
              </w:rPr>
              <w:t>25. Начален и краен срок за подаване на документите за кандидатстване:</w:t>
            </w:r>
          </w:p>
          <w:p w14:paraId="2DB8F4A5" w14:textId="77777777" w:rsidR="00443731" w:rsidRPr="002F2814" w:rsidRDefault="00443731" w:rsidP="007541D6">
            <w:pPr>
              <w:tabs>
                <w:tab w:val="left" w:pos="0"/>
                <w:tab w:val="left" w:pos="34"/>
              </w:tabs>
              <w:spacing w:after="200" w:line="276" w:lineRule="auto"/>
              <w:ind w:firstLine="567"/>
              <w:contextualSpacing/>
              <w:jc w:val="both"/>
              <w:rPr>
                <w:rFonts w:ascii="Times New Roman" w:hAnsi="Times New Roman" w:cs="Times New Roman"/>
                <w:sz w:val="24"/>
                <w:szCs w:val="24"/>
              </w:rPr>
            </w:pPr>
          </w:p>
          <w:p w14:paraId="08479B0C" w14:textId="00EFB73A" w:rsidR="001053B3" w:rsidRPr="00D858D6" w:rsidRDefault="001053B3" w:rsidP="007541D6">
            <w:pPr>
              <w:tabs>
                <w:tab w:val="left" w:pos="0"/>
                <w:tab w:val="left" w:pos="34"/>
              </w:tabs>
              <w:spacing w:after="200" w:line="276" w:lineRule="auto"/>
              <w:ind w:firstLine="567"/>
              <w:contextualSpacing/>
              <w:jc w:val="both"/>
              <w:rPr>
                <w:rFonts w:ascii="Times New Roman" w:hAnsi="Times New Roman" w:cs="Times New Roman"/>
                <w:sz w:val="24"/>
                <w:szCs w:val="24"/>
              </w:rPr>
            </w:pPr>
            <w:r w:rsidRPr="00D858D6">
              <w:rPr>
                <w:rFonts w:ascii="Times New Roman" w:hAnsi="Times New Roman" w:cs="Times New Roman"/>
                <w:sz w:val="24"/>
                <w:szCs w:val="24"/>
              </w:rPr>
              <w:t xml:space="preserve">Начална дата: </w:t>
            </w:r>
            <w:r w:rsidR="00F5549E" w:rsidRPr="00D858D6">
              <w:rPr>
                <w:rFonts w:ascii="Times New Roman" w:hAnsi="Times New Roman" w:cs="Times New Roman"/>
                <w:sz w:val="24"/>
                <w:szCs w:val="24"/>
              </w:rPr>
              <w:t>24</w:t>
            </w:r>
            <w:r w:rsidRPr="00D858D6">
              <w:rPr>
                <w:rFonts w:ascii="Times New Roman" w:hAnsi="Times New Roman" w:cs="Times New Roman"/>
                <w:sz w:val="24"/>
                <w:szCs w:val="24"/>
              </w:rPr>
              <w:t>.0</w:t>
            </w:r>
            <w:r w:rsidR="004B6C09" w:rsidRPr="00D858D6">
              <w:rPr>
                <w:rFonts w:ascii="Times New Roman" w:hAnsi="Times New Roman" w:cs="Times New Roman"/>
                <w:sz w:val="24"/>
                <w:szCs w:val="24"/>
              </w:rPr>
              <w:t>2</w:t>
            </w:r>
            <w:r w:rsidRPr="00D858D6">
              <w:rPr>
                <w:rFonts w:ascii="Times New Roman" w:hAnsi="Times New Roman" w:cs="Times New Roman"/>
                <w:sz w:val="24"/>
                <w:szCs w:val="24"/>
              </w:rPr>
              <w:t>.202</w:t>
            </w:r>
            <w:r w:rsidR="0060581B" w:rsidRPr="00D858D6">
              <w:rPr>
                <w:rFonts w:ascii="Times New Roman" w:hAnsi="Times New Roman" w:cs="Times New Roman"/>
                <w:sz w:val="24"/>
                <w:szCs w:val="24"/>
                <w:lang w:val="en-GB"/>
              </w:rPr>
              <w:t>5</w:t>
            </w:r>
            <w:r w:rsidRPr="00D858D6">
              <w:rPr>
                <w:rFonts w:ascii="Times New Roman" w:hAnsi="Times New Roman" w:cs="Times New Roman"/>
                <w:sz w:val="24"/>
                <w:szCs w:val="24"/>
              </w:rPr>
              <w:t xml:space="preserve"> г., 10:00 часа</w:t>
            </w:r>
          </w:p>
          <w:p w14:paraId="2A09B2F3" w14:textId="0754E29F" w:rsidR="003935EC" w:rsidRPr="002F2814" w:rsidRDefault="001053B3" w:rsidP="00F5549E">
            <w:pPr>
              <w:tabs>
                <w:tab w:val="left" w:pos="0"/>
                <w:tab w:val="left" w:pos="34"/>
              </w:tabs>
              <w:spacing w:line="276" w:lineRule="auto"/>
              <w:ind w:firstLine="567"/>
              <w:contextualSpacing/>
              <w:jc w:val="both"/>
              <w:rPr>
                <w:rFonts w:ascii="Times New Roman" w:hAnsi="Times New Roman" w:cs="Times New Roman"/>
                <w:b/>
                <w:sz w:val="24"/>
                <w:szCs w:val="24"/>
              </w:rPr>
            </w:pPr>
            <w:r w:rsidRPr="00D858D6">
              <w:rPr>
                <w:rFonts w:ascii="Times New Roman" w:hAnsi="Times New Roman" w:cs="Times New Roman"/>
                <w:sz w:val="24"/>
                <w:szCs w:val="24"/>
              </w:rPr>
              <w:t xml:space="preserve">Краен срок: </w:t>
            </w:r>
            <w:r w:rsidR="004B6C09" w:rsidRPr="00D858D6">
              <w:rPr>
                <w:rFonts w:ascii="Times New Roman" w:hAnsi="Times New Roman" w:cs="Times New Roman"/>
                <w:sz w:val="24"/>
                <w:szCs w:val="24"/>
              </w:rPr>
              <w:t>2</w:t>
            </w:r>
            <w:r w:rsidR="00F5549E" w:rsidRPr="00D858D6">
              <w:rPr>
                <w:rFonts w:ascii="Times New Roman" w:hAnsi="Times New Roman" w:cs="Times New Roman"/>
                <w:sz w:val="24"/>
                <w:szCs w:val="24"/>
              </w:rPr>
              <w:t>4</w:t>
            </w:r>
            <w:r w:rsidR="0060581B" w:rsidRPr="00D858D6">
              <w:rPr>
                <w:rFonts w:ascii="Times New Roman" w:hAnsi="Times New Roman" w:cs="Times New Roman"/>
                <w:sz w:val="24"/>
                <w:szCs w:val="24"/>
              </w:rPr>
              <w:t>.0</w:t>
            </w:r>
            <w:r w:rsidR="004B6C09" w:rsidRPr="00D858D6">
              <w:rPr>
                <w:rFonts w:ascii="Times New Roman" w:hAnsi="Times New Roman" w:cs="Times New Roman"/>
                <w:sz w:val="24"/>
                <w:szCs w:val="24"/>
              </w:rPr>
              <w:t>5</w:t>
            </w:r>
            <w:r w:rsidR="0060581B" w:rsidRPr="00D858D6">
              <w:rPr>
                <w:rFonts w:ascii="Times New Roman" w:hAnsi="Times New Roman" w:cs="Times New Roman"/>
                <w:sz w:val="24"/>
                <w:szCs w:val="24"/>
              </w:rPr>
              <w:t>.</w:t>
            </w:r>
            <w:r w:rsidRPr="00D858D6">
              <w:rPr>
                <w:rFonts w:ascii="Times New Roman" w:hAnsi="Times New Roman" w:cs="Times New Roman"/>
                <w:sz w:val="24"/>
                <w:szCs w:val="24"/>
              </w:rPr>
              <w:t>202</w:t>
            </w:r>
            <w:r w:rsidR="0060581B" w:rsidRPr="00D858D6">
              <w:rPr>
                <w:rFonts w:ascii="Times New Roman" w:hAnsi="Times New Roman" w:cs="Times New Roman"/>
                <w:sz w:val="24"/>
                <w:szCs w:val="24"/>
              </w:rPr>
              <w:t>5</w:t>
            </w:r>
            <w:r w:rsidRPr="00D858D6">
              <w:rPr>
                <w:rFonts w:ascii="Times New Roman" w:hAnsi="Times New Roman" w:cs="Times New Roman"/>
                <w:sz w:val="24"/>
                <w:szCs w:val="24"/>
              </w:rPr>
              <w:t xml:space="preserve"> година, 18:00 часа</w:t>
            </w:r>
            <w:r w:rsidRPr="002F2814" w:rsidDel="001053B3">
              <w:rPr>
                <w:rFonts w:ascii="Times New Roman" w:hAnsi="Times New Roman" w:cs="Times New Roman"/>
                <w:sz w:val="24"/>
                <w:szCs w:val="24"/>
              </w:rPr>
              <w:t xml:space="preserve"> </w:t>
            </w:r>
          </w:p>
        </w:tc>
      </w:tr>
    </w:tbl>
    <w:p w14:paraId="432A112D" w14:textId="77777777" w:rsidR="003935EC" w:rsidRPr="002F2814" w:rsidRDefault="003935EC" w:rsidP="00044F85">
      <w:pPr>
        <w:tabs>
          <w:tab w:val="left" w:pos="0"/>
          <w:tab w:val="left" w:pos="709"/>
        </w:tabs>
        <w:spacing w:after="0"/>
        <w:ind w:firstLine="567"/>
        <w:contextualSpacing/>
        <w:jc w:val="both"/>
        <w:rPr>
          <w:rFonts w:ascii="Times New Roman" w:hAnsi="Times New Roman" w:cs="Times New Roman"/>
          <w:sz w:val="24"/>
          <w:szCs w:val="24"/>
        </w:rPr>
      </w:pPr>
    </w:p>
    <w:tbl>
      <w:tblPr>
        <w:tblStyle w:val="TableGrid"/>
        <w:tblW w:w="9923" w:type="dxa"/>
        <w:tblInd w:w="-34" w:type="dxa"/>
        <w:tblLook w:val="04A0" w:firstRow="1" w:lastRow="0" w:firstColumn="1" w:lastColumn="0" w:noHBand="0" w:noVBand="1"/>
      </w:tblPr>
      <w:tblGrid>
        <w:gridCol w:w="9923"/>
      </w:tblGrid>
      <w:tr w:rsidR="00FB202F" w:rsidRPr="00FB202F" w14:paraId="6EE1CAEE" w14:textId="77777777" w:rsidTr="000D7565">
        <w:tc>
          <w:tcPr>
            <w:tcW w:w="9923" w:type="dxa"/>
          </w:tcPr>
          <w:p w14:paraId="3FE1BD65" w14:textId="77777777" w:rsidR="003935EC" w:rsidRPr="002F2814" w:rsidRDefault="003935EC" w:rsidP="007541D6">
            <w:pPr>
              <w:tabs>
                <w:tab w:val="left" w:pos="0"/>
                <w:tab w:val="left" w:pos="709"/>
              </w:tabs>
              <w:spacing w:line="276" w:lineRule="auto"/>
              <w:ind w:firstLine="567"/>
              <w:jc w:val="both"/>
              <w:rPr>
                <w:rFonts w:ascii="Times New Roman" w:hAnsi="Times New Roman" w:cs="Times New Roman"/>
                <w:b/>
                <w:sz w:val="24"/>
                <w:szCs w:val="24"/>
              </w:rPr>
            </w:pPr>
            <w:r w:rsidRPr="0060581B">
              <w:rPr>
                <w:rFonts w:ascii="Times New Roman" w:hAnsi="Times New Roman" w:cs="Times New Roman"/>
                <w:b/>
                <w:sz w:val="24"/>
                <w:szCs w:val="24"/>
              </w:rPr>
              <w:t>26. Адрес за подаване на документите за кандидатстване за подбор на стратегии за ВОМР:</w:t>
            </w:r>
          </w:p>
          <w:p w14:paraId="522BA18F" w14:textId="392265AB" w:rsidR="003935EC" w:rsidRPr="002F2814" w:rsidRDefault="003935EC" w:rsidP="007541D6">
            <w:pPr>
              <w:spacing w:line="276" w:lineRule="auto"/>
              <w:ind w:firstLine="567"/>
              <w:jc w:val="both"/>
              <w:rPr>
                <w:rFonts w:ascii="Times New Roman" w:hAnsi="Times New Roman" w:cs="Times New Roman"/>
                <w:sz w:val="24"/>
                <w:szCs w:val="24"/>
              </w:rPr>
            </w:pPr>
            <w:r w:rsidRPr="002F2814">
              <w:rPr>
                <w:rFonts w:ascii="Times New Roman" w:hAnsi="Times New Roman" w:cs="Times New Roman"/>
                <w:sz w:val="24"/>
                <w:szCs w:val="24"/>
                <w:shd w:val="clear" w:color="auto" w:fill="FEFEFE"/>
              </w:rPr>
              <w:t>Документите се подават в ИСУН на следния интернет адрес: https://eumis2020.government.bg.</w:t>
            </w:r>
          </w:p>
        </w:tc>
      </w:tr>
    </w:tbl>
    <w:p w14:paraId="67330073" w14:textId="77777777" w:rsidR="003935EC" w:rsidRPr="00AE25F3" w:rsidRDefault="003935EC" w:rsidP="00044F85">
      <w:pPr>
        <w:keepNext/>
        <w:keepLines/>
        <w:spacing w:after="0"/>
        <w:ind w:firstLine="567"/>
        <w:jc w:val="both"/>
        <w:outlineLvl w:val="0"/>
        <w:rPr>
          <w:rFonts w:ascii="Times New Roman" w:eastAsiaTheme="majorEastAsia" w:hAnsi="Times New Roman" w:cs="Times New Roman"/>
          <w:b/>
          <w:bCs/>
          <w:sz w:val="24"/>
          <w:szCs w:val="24"/>
        </w:rPr>
      </w:pPr>
    </w:p>
    <w:tbl>
      <w:tblPr>
        <w:tblStyle w:val="TableGrid"/>
        <w:tblW w:w="0" w:type="auto"/>
        <w:tblLook w:val="04A0" w:firstRow="1" w:lastRow="0" w:firstColumn="1" w:lastColumn="0" w:noHBand="0" w:noVBand="1"/>
      </w:tblPr>
      <w:tblGrid>
        <w:gridCol w:w="9889"/>
      </w:tblGrid>
      <w:tr w:rsidR="00FB202F" w:rsidRPr="00AE25F3" w14:paraId="1B43942D" w14:textId="77777777" w:rsidTr="000D7565">
        <w:tc>
          <w:tcPr>
            <w:tcW w:w="9889" w:type="dxa"/>
            <w:tcBorders>
              <w:bottom w:val="nil"/>
            </w:tcBorders>
          </w:tcPr>
          <w:p w14:paraId="2AA51C83" w14:textId="77777777" w:rsidR="003935EC" w:rsidRPr="00AE25F3" w:rsidRDefault="003935EC" w:rsidP="00044F85">
            <w:pPr>
              <w:widowControl w:val="0"/>
              <w:autoSpaceDE w:val="0"/>
              <w:autoSpaceDN w:val="0"/>
              <w:adjustRightInd w:val="0"/>
              <w:spacing w:line="276" w:lineRule="auto"/>
              <w:ind w:firstLine="567"/>
              <w:jc w:val="both"/>
              <w:rPr>
                <w:rFonts w:ascii="Times New Roman" w:hAnsi="Times New Roman" w:cs="Times New Roman"/>
                <w:sz w:val="24"/>
                <w:szCs w:val="24"/>
              </w:rPr>
            </w:pPr>
            <w:bookmarkStart w:id="1" w:name="_Toc499563703"/>
            <w:r w:rsidRPr="00AE25F3">
              <w:rPr>
                <w:rFonts w:ascii="Times New Roman" w:eastAsiaTheme="majorEastAsia" w:hAnsi="Times New Roman" w:cs="Times New Roman"/>
                <w:b/>
                <w:bCs/>
                <w:sz w:val="24"/>
                <w:szCs w:val="24"/>
              </w:rPr>
              <w:t>27. Допълнителна информация:</w:t>
            </w:r>
            <w:bookmarkEnd w:id="1"/>
          </w:p>
        </w:tc>
      </w:tr>
    </w:tbl>
    <w:p w14:paraId="6F5F3D96" w14:textId="16E52309" w:rsidR="00B42671" w:rsidRPr="00FB202F" w:rsidRDefault="00B42671"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bookmarkStart w:id="2" w:name="_Toc499563705"/>
      <w:r w:rsidRPr="00AE25F3">
        <w:rPr>
          <w:rFonts w:ascii="Times New Roman" w:eastAsia="Times New Roman" w:hAnsi="Times New Roman" w:cs="Times New Roman"/>
          <w:sz w:val="24"/>
          <w:szCs w:val="24"/>
          <w:shd w:val="clear" w:color="auto" w:fill="FEFEFE"/>
          <w:lang w:eastAsia="bg-BG"/>
        </w:rPr>
        <w:t>27.</w:t>
      </w:r>
      <w:r w:rsidR="004D7FA9" w:rsidRPr="00AE25F3">
        <w:rPr>
          <w:rFonts w:ascii="Times New Roman" w:eastAsia="Times New Roman" w:hAnsi="Times New Roman" w:cs="Times New Roman"/>
          <w:sz w:val="24"/>
          <w:szCs w:val="24"/>
          <w:shd w:val="clear" w:color="auto" w:fill="FEFEFE"/>
          <w:lang w:eastAsia="bg-BG"/>
        </w:rPr>
        <w:t>1</w:t>
      </w:r>
      <w:r w:rsidRPr="00AE25F3">
        <w:rPr>
          <w:rFonts w:ascii="Times New Roman" w:eastAsia="Times New Roman" w:hAnsi="Times New Roman" w:cs="Times New Roman"/>
          <w:sz w:val="24"/>
          <w:szCs w:val="24"/>
          <w:shd w:val="clear" w:color="auto" w:fill="FEFEFE"/>
          <w:lang w:eastAsia="bg-BG"/>
        </w:rPr>
        <w:t>.</w:t>
      </w:r>
      <w:r w:rsidRPr="00FB202F">
        <w:rPr>
          <w:rFonts w:ascii="Times New Roman" w:eastAsia="Times New Roman" w:hAnsi="Times New Roman" w:cs="Times New Roman"/>
          <w:sz w:val="24"/>
          <w:szCs w:val="24"/>
          <w:shd w:val="clear" w:color="auto" w:fill="FEFEFE"/>
          <w:lang w:eastAsia="bg-BG"/>
        </w:rPr>
        <w:t xml:space="preserve"> Представителите на уязвимите групи и малцинствата се самоопределят като такива пред колективния управителен орган в писм</w:t>
      </w:r>
      <w:r w:rsidR="004D7FA9" w:rsidRPr="00FB202F">
        <w:rPr>
          <w:rFonts w:ascii="Times New Roman" w:eastAsia="Times New Roman" w:hAnsi="Times New Roman" w:cs="Times New Roman"/>
          <w:sz w:val="24"/>
          <w:szCs w:val="24"/>
          <w:shd w:val="clear" w:color="auto" w:fill="FEFEFE"/>
          <w:lang w:eastAsia="bg-BG"/>
        </w:rPr>
        <w:t>ена</w:t>
      </w:r>
      <w:r w:rsidRPr="00FB202F">
        <w:rPr>
          <w:rFonts w:ascii="Times New Roman" w:eastAsia="Times New Roman" w:hAnsi="Times New Roman" w:cs="Times New Roman"/>
          <w:sz w:val="24"/>
          <w:szCs w:val="24"/>
          <w:shd w:val="clear" w:color="auto" w:fill="FEFEFE"/>
          <w:lang w:eastAsia="bg-BG"/>
        </w:rPr>
        <w:t xml:space="preserve"> форма.</w:t>
      </w:r>
    </w:p>
    <w:p w14:paraId="7D6D12A3" w14:textId="3EFDBCDE" w:rsidR="00B42671" w:rsidRDefault="00B42671"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27.</w:t>
      </w:r>
      <w:r w:rsidR="004D7FA9" w:rsidRPr="00FB202F">
        <w:rPr>
          <w:rFonts w:ascii="Times New Roman" w:eastAsia="Times New Roman" w:hAnsi="Times New Roman" w:cs="Times New Roman"/>
          <w:sz w:val="24"/>
          <w:szCs w:val="24"/>
          <w:shd w:val="clear" w:color="auto" w:fill="FEFEFE"/>
          <w:lang w:eastAsia="bg-BG"/>
        </w:rPr>
        <w:t>2</w:t>
      </w:r>
      <w:r w:rsidRPr="00FB202F">
        <w:rPr>
          <w:rFonts w:ascii="Times New Roman" w:eastAsia="Times New Roman" w:hAnsi="Times New Roman" w:cs="Times New Roman"/>
          <w:sz w:val="24"/>
          <w:szCs w:val="24"/>
          <w:shd w:val="clear" w:color="auto" w:fill="FEFEFE"/>
          <w:lang w:eastAsia="bg-BG"/>
        </w:rPr>
        <w:t xml:space="preserve">. Данните за броя жители към 31 декември 2020 г., представени от Националния статистически институт, са публикувани на интернет страницата на Министерството на земеделието и храните в рубрика ВОМР.   </w:t>
      </w:r>
    </w:p>
    <w:p w14:paraId="71A31A24" w14:textId="15330AC8" w:rsidR="00B42671" w:rsidRPr="00FB202F" w:rsidRDefault="00B42671"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27.</w:t>
      </w:r>
      <w:r w:rsidR="004D7FA9" w:rsidRPr="00FB202F">
        <w:rPr>
          <w:rFonts w:ascii="Times New Roman" w:eastAsia="Times New Roman" w:hAnsi="Times New Roman" w:cs="Times New Roman"/>
          <w:sz w:val="24"/>
          <w:szCs w:val="24"/>
          <w:shd w:val="clear" w:color="auto" w:fill="FEFEFE"/>
          <w:lang w:eastAsia="bg-BG"/>
        </w:rPr>
        <w:t>3</w:t>
      </w:r>
      <w:r w:rsidRPr="00FB202F">
        <w:rPr>
          <w:rFonts w:ascii="Times New Roman" w:eastAsia="Times New Roman" w:hAnsi="Times New Roman" w:cs="Times New Roman"/>
          <w:sz w:val="24"/>
          <w:szCs w:val="24"/>
          <w:shd w:val="clear" w:color="auto" w:fill="FEFEFE"/>
          <w:lang w:eastAsia="bg-BG"/>
        </w:rPr>
        <w:t>. За нуждите на процедурата се използват следните определения:</w:t>
      </w:r>
    </w:p>
    <w:p w14:paraId="192EBFD5" w14:textId="77777777" w:rsidR="00B42671" w:rsidRDefault="00B42671"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1. „Актив“ - материален или нематериален актив по смисъла на Регламент (ЕС) № 651/2014 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p w14:paraId="61A8308E" w14:textId="1BB118AF" w:rsidR="00573A54" w:rsidRPr="00FB202F" w:rsidRDefault="00573A54"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 xml:space="preserve">2. „Балансирано участие на жени и мъже“ – представителство на жените и на мъжете в колективния върховен орган на МИГ, което не е под 40% като праг на паритета; </w:t>
      </w:r>
    </w:p>
    <w:p w14:paraId="3181FF75" w14:textId="100A6593" w:rsidR="00B42671" w:rsidRPr="00FB202F" w:rsidRDefault="00573A54"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3</w:t>
      </w:r>
      <w:r w:rsidR="00B42671" w:rsidRPr="00FB202F">
        <w:rPr>
          <w:rFonts w:ascii="Times New Roman" w:eastAsia="Times New Roman" w:hAnsi="Times New Roman" w:cs="Times New Roman"/>
          <w:sz w:val="24"/>
          <w:szCs w:val="24"/>
          <w:shd w:val="clear" w:color="auto" w:fill="FEFEFE"/>
          <w:lang w:eastAsia="bg-BG"/>
        </w:rPr>
        <w:t xml:space="preserve">. „Бенефициент“ - </w:t>
      </w:r>
      <w:r w:rsidR="00BB4C96" w:rsidRPr="00FB202F">
        <w:rPr>
          <w:rFonts w:ascii="Times New Roman" w:eastAsia="Times New Roman" w:hAnsi="Times New Roman" w:cs="Times New Roman"/>
          <w:sz w:val="24"/>
          <w:szCs w:val="24"/>
          <w:shd w:val="clear" w:color="auto" w:fill="FEFEFE"/>
          <w:lang w:eastAsia="bg-BG"/>
        </w:rPr>
        <w:t>п</w:t>
      </w:r>
      <w:r w:rsidR="00B42671" w:rsidRPr="00FB202F">
        <w:rPr>
          <w:rFonts w:ascii="Times New Roman" w:eastAsia="Times New Roman" w:hAnsi="Times New Roman" w:cs="Times New Roman"/>
          <w:sz w:val="24"/>
          <w:szCs w:val="24"/>
          <w:shd w:val="clear" w:color="auto" w:fill="FEFEFE"/>
          <w:lang w:eastAsia="bg-BG"/>
        </w:rPr>
        <w:t>убличен или частен субект, образувание със или без правосубектност или физическо лице, които отговарят за започването на операциите или за започването и изпълнението им;</w:t>
      </w:r>
    </w:p>
    <w:p w14:paraId="6332045E" w14:textId="79E767FB" w:rsidR="00B42671" w:rsidRPr="00FB202F" w:rsidRDefault="00573A54"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4</w:t>
      </w:r>
      <w:r w:rsidR="00B42671" w:rsidRPr="00FB202F">
        <w:rPr>
          <w:rFonts w:ascii="Times New Roman" w:eastAsia="Times New Roman" w:hAnsi="Times New Roman" w:cs="Times New Roman"/>
          <w:sz w:val="24"/>
          <w:szCs w:val="24"/>
          <w:shd w:val="clear" w:color="auto" w:fill="FEFEFE"/>
          <w:lang w:eastAsia="bg-BG"/>
        </w:rPr>
        <w:t>. „Възстановим ДДС“ - ДДС, подлежащ на възстановяване от компетентен орган по приходите съгласно разпоредбите на ЗДДС, и представлява недопустим разход;</w:t>
      </w:r>
    </w:p>
    <w:p w14:paraId="10DE7453" w14:textId="3D8CEF23" w:rsidR="00B42671" w:rsidRPr="00FB202F" w:rsidRDefault="00573A54"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5</w:t>
      </w:r>
      <w:r w:rsidR="00B42671" w:rsidRPr="00FB202F">
        <w:rPr>
          <w:rFonts w:ascii="Times New Roman" w:eastAsia="Times New Roman" w:hAnsi="Times New Roman" w:cs="Times New Roman"/>
          <w:sz w:val="24"/>
          <w:szCs w:val="24"/>
          <w:shd w:val="clear" w:color="auto" w:fill="FEFEFE"/>
          <w:lang w:eastAsia="bg-BG"/>
        </w:rPr>
        <w:t xml:space="preserve">. „Заинтересована страна“ - </w:t>
      </w:r>
      <w:r w:rsidR="00BB4C96" w:rsidRPr="00FB202F">
        <w:rPr>
          <w:rFonts w:ascii="Times New Roman" w:eastAsia="Times New Roman" w:hAnsi="Times New Roman" w:cs="Times New Roman"/>
          <w:sz w:val="24"/>
          <w:szCs w:val="24"/>
          <w:shd w:val="clear" w:color="auto" w:fill="FEFEFE"/>
          <w:lang w:eastAsia="bg-BG"/>
        </w:rPr>
        <w:t>г</w:t>
      </w:r>
      <w:r w:rsidR="00B42671" w:rsidRPr="00FB202F">
        <w:rPr>
          <w:rFonts w:ascii="Times New Roman" w:eastAsia="Times New Roman" w:hAnsi="Times New Roman" w:cs="Times New Roman"/>
          <w:sz w:val="24"/>
          <w:szCs w:val="24"/>
          <w:shd w:val="clear" w:color="auto" w:fill="FEFEFE"/>
          <w:lang w:eastAsia="bg-BG"/>
        </w:rPr>
        <w:t>рупа заинтересовани лица от реализиране на стратегия за ВОМР, включително и като потенциални получатели на финансова помощ и ползватели на резултати от нейното изпълнение;</w:t>
      </w:r>
    </w:p>
    <w:p w14:paraId="41215664" w14:textId="62BEDB5E" w:rsidR="00B42671" w:rsidRPr="00FB202F" w:rsidRDefault="00573A54"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lastRenderedPageBreak/>
        <w:t>6</w:t>
      </w:r>
      <w:r w:rsidR="00B42671" w:rsidRPr="00FB202F">
        <w:rPr>
          <w:rFonts w:ascii="Times New Roman" w:eastAsia="Times New Roman" w:hAnsi="Times New Roman" w:cs="Times New Roman"/>
          <w:sz w:val="24"/>
          <w:szCs w:val="24"/>
          <w:shd w:val="clear" w:color="auto" w:fill="FEFEFE"/>
          <w:lang w:eastAsia="bg-BG"/>
        </w:rPr>
        <w:t>. „Инвестиция“ - средствата, вложени за придобиване на активи, включително услугите по придобиването им;</w:t>
      </w:r>
    </w:p>
    <w:p w14:paraId="36FC03AF" w14:textId="4EF29431" w:rsidR="00B42671" w:rsidRPr="00FB202F" w:rsidRDefault="00573A54"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7</w:t>
      </w:r>
      <w:r w:rsidR="00B42671" w:rsidRPr="00FB202F">
        <w:rPr>
          <w:rFonts w:ascii="Times New Roman" w:eastAsia="Times New Roman" w:hAnsi="Times New Roman" w:cs="Times New Roman"/>
          <w:sz w:val="24"/>
          <w:szCs w:val="24"/>
          <w:shd w:val="clear" w:color="auto" w:fill="FEFEFE"/>
          <w:lang w:eastAsia="bg-BG"/>
        </w:rPr>
        <w:t xml:space="preserve">. „Индикатор за резултат“ - </w:t>
      </w:r>
      <w:r w:rsidR="00BB4C96" w:rsidRPr="00FB202F">
        <w:rPr>
          <w:rFonts w:ascii="Times New Roman" w:eastAsia="Times New Roman" w:hAnsi="Times New Roman" w:cs="Times New Roman"/>
          <w:sz w:val="24"/>
          <w:szCs w:val="24"/>
          <w:shd w:val="clear" w:color="auto" w:fill="FEFEFE"/>
          <w:lang w:eastAsia="bg-BG"/>
        </w:rPr>
        <w:t>п</w:t>
      </w:r>
      <w:r w:rsidR="00B42671" w:rsidRPr="00FB202F">
        <w:rPr>
          <w:rFonts w:ascii="Times New Roman" w:eastAsia="Times New Roman" w:hAnsi="Times New Roman" w:cs="Times New Roman"/>
          <w:sz w:val="24"/>
          <w:szCs w:val="24"/>
          <w:shd w:val="clear" w:color="auto" w:fill="FEFEFE"/>
          <w:lang w:eastAsia="bg-BG"/>
        </w:rPr>
        <w:t>оказател за измерване на последиците от получилите подкрепа по стратегията мерки от гледна точка на извършените инвестиции и постигнатите резултати;</w:t>
      </w:r>
    </w:p>
    <w:p w14:paraId="68D757C9" w14:textId="4B2BFCFB" w:rsidR="00BB4C96" w:rsidRPr="00FB202F" w:rsidRDefault="00573A54"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8</w:t>
      </w:r>
      <w:r w:rsidR="004D7FA9" w:rsidRPr="00FB202F">
        <w:rPr>
          <w:rFonts w:ascii="Times New Roman" w:eastAsia="Times New Roman" w:hAnsi="Times New Roman" w:cs="Times New Roman"/>
          <w:sz w:val="24"/>
          <w:szCs w:val="24"/>
          <w:shd w:val="clear" w:color="auto" w:fill="FEFEFE"/>
          <w:lang w:eastAsia="bg-BG"/>
        </w:rPr>
        <w:t xml:space="preserve">. „Иновативност на проект“ – включване в проекта на нов подход, метод или средства за реализирането му, които не са прилагани </w:t>
      </w:r>
      <w:r w:rsidR="00BB4C96" w:rsidRPr="00FB202F">
        <w:rPr>
          <w:rFonts w:ascii="Times New Roman" w:eastAsia="Times New Roman" w:hAnsi="Times New Roman" w:cs="Times New Roman"/>
          <w:sz w:val="24"/>
          <w:szCs w:val="24"/>
          <w:shd w:val="clear" w:color="auto" w:fill="FEFEFE"/>
          <w:lang w:eastAsia="bg-BG"/>
        </w:rPr>
        <w:t>на територията на местната общност чрез:</w:t>
      </w:r>
    </w:p>
    <w:p w14:paraId="284FA432" w14:textId="77777777" w:rsidR="00BB4C96" w:rsidRPr="00FB202F" w:rsidRDefault="00BB4C96"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а) възможност за създаване на нов за територията продукт или услуга, и/или;</w:t>
      </w:r>
    </w:p>
    <w:p w14:paraId="125AD467" w14:textId="5EFA8F69" w:rsidR="00BB4C96" w:rsidRPr="00FB202F" w:rsidRDefault="00BB4C96"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б) включване на дейности, които предоставят възможност за нова за територията форма на използване на природните ресурси и/или културно-историческото наследство, и/или;</w:t>
      </w:r>
    </w:p>
    <w:p w14:paraId="41933CC6" w14:textId="616446BC" w:rsidR="00BB4C96" w:rsidRPr="00FB202F" w:rsidRDefault="00BB4C96"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в) нов метод и/или начин за решаване на местни проблеми и слабости на територията.</w:t>
      </w:r>
    </w:p>
    <w:p w14:paraId="7D2623BE" w14:textId="71951993" w:rsidR="00B42671" w:rsidRPr="00FB202F" w:rsidRDefault="00573A54"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9</w:t>
      </w:r>
      <w:r w:rsidR="00B42671" w:rsidRPr="00FB202F">
        <w:rPr>
          <w:rFonts w:ascii="Times New Roman" w:eastAsia="Times New Roman" w:hAnsi="Times New Roman" w:cs="Times New Roman"/>
          <w:sz w:val="24"/>
          <w:szCs w:val="24"/>
          <w:shd w:val="clear" w:color="auto" w:fill="FEFEFE"/>
          <w:lang w:eastAsia="bg-BG"/>
        </w:rPr>
        <w:t>. „Иновативност на стратегия за ВОМР“ - е включване в стратегията за ВОМР на нов подход, метод или средства за реализирането й, които не са прилагани на територията на местната общност чрез:</w:t>
      </w:r>
    </w:p>
    <w:p w14:paraId="3B3621B1" w14:textId="77777777" w:rsidR="00B42671" w:rsidRPr="00FB202F" w:rsidRDefault="00B42671"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а) възможност за създаване на нов за територията продукт или услуга, и/или;</w:t>
      </w:r>
    </w:p>
    <w:p w14:paraId="26B74BE8" w14:textId="77777777" w:rsidR="00B42671" w:rsidRPr="00FB202F" w:rsidRDefault="00B42671"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б) включване на дейности/мерки, които предоставят възможност за нова за територията форма на използване на природните ресурси и/или културно-историческото наследство, и/или;</w:t>
      </w:r>
    </w:p>
    <w:p w14:paraId="60E7DD7E" w14:textId="77777777" w:rsidR="00B42671" w:rsidRPr="00FB202F" w:rsidRDefault="00B42671"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в) нов метод и/или начин за решаване на местните проблеми и слабости на територията, и/или;</w:t>
      </w:r>
    </w:p>
    <w:p w14:paraId="3A291F4A" w14:textId="77777777" w:rsidR="00B42671" w:rsidRPr="00FB202F" w:rsidRDefault="00B42671"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г) определяне на критерии за оценка на проектите, свързани с иновативност на проектите.</w:t>
      </w:r>
    </w:p>
    <w:p w14:paraId="247F5639" w14:textId="000307EE" w:rsidR="00B42671" w:rsidRPr="00FB202F" w:rsidRDefault="00573A54"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10</w:t>
      </w:r>
      <w:r w:rsidR="00B42671" w:rsidRPr="00FB202F">
        <w:rPr>
          <w:rFonts w:ascii="Times New Roman" w:eastAsia="Times New Roman" w:hAnsi="Times New Roman" w:cs="Times New Roman"/>
          <w:sz w:val="24"/>
          <w:szCs w:val="24"/>
          <w:shd w:val="clear" w:color="auto" w:fill="FEFEFE"/>
          <w:lang w:eastAsia="bg-BG"/>
        </w:rPr>
        <w:t xml:space="preserve">. „Интелигентни селища“ - </w:t>
      </w:r>
      <w:r w:rsidR="00BB4C96" w:rsidRPr="00FB202F">
        <w:rPr>
          <w:rFonts w:ascii="Times New Roman" w:eastAsia="Times New Roman" w:hAnsi="Times New Roman" w:cs="Times New Roman"/>
          <w:sz w:val="24"/>
          <w:szCs w:val="24"/>
          <w:shd w:val="clear" w:color="auto" w:fill="FEFEFE"/>
          <w:lang w:eastAsia="bg-BG"/>
        </w:rPr>
        <w:t>п</w:t>
      </w:r>
      <w:r w:rsidR="00B42671" w:rsidRPr="00FB202F">
        <w:rPr>
          <w:rFonts w:ascii="Times New Roman" w:eastAsia="Times New Roman" w:hAnsi="Times New Roman" w:cs="Times New Roman"/>
          <w:sz w:val="24"/>
          <w:szCs w:val="24"/>
          <w:shd w:val="clear" w:color="auto" w:fill="FEFEFE"/>
          <w:lang w:eastAsia="bg-BG"/>
        </w:rPr>
        <w:t>одход за интегрирано териториално развитие, който се прилага от общности в селските райони, на основата на концепция (опростен вариант на стратегия или стратегия) за неговото приложение и/или като отделни, самостоятелни иновативни социални, технологични и/или цифрови решения, съответстващи на принципите на тази концепция като инструмент/и за териториално развитие на селските райони за подобряване на техните икономически, социални и/или екологични условия;</w:t>
      </w:r>
    </w:p>
    <w:p w14:paraId="441B82DA" w14:textId="0F53DBC1" w:rsidR="00B42671" w:rsidRPr="00FB202F" w:rsidRDefault="00B42671"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1</w:t>
      </w:r>
      <w:r w:rsidR="00573A54">
        <w:rPr>
          <w:rFonts w:ascii="Times New Roman" w:eastAsia="Times New Roman" w:hAnsi="Times New Roman" w:cs="Times New Roman"/>
          <w:sz w:val="24"/>
          <w:szCs w:val="24"/>
          <w:shd w:val="clear" w:color="auto" w:fill="FEFEFE"/>
          <w:lang w:eastAsia="bg-BG"/>
        </w:rPr>
        <w:t>1</w:t>
      </w:r>
      <w:r w:rsidRPr="00FB202F">
        <w:rPr>
          <w:rFonts w:ascii="Times New Roman" w:eastAsia="Times New Roman" w:hAnsi="Times New Roman" w:cs="Times New Roman"/>
          <w:sz w:val="24"/>
          <w:szCs w:val="24"/>
          <w:shd w:val="clear" w:color="auto" w:fill="FEFEFE"/>
          <w:lang w:eastAsia="bg-BG"/>
        </w:rPr>
        <w:t xml:space="preserve">. „Интензитет на помощта“ - </w:t>
      </w:r>
      <w:r w:rsidR="00BB4C96" w:rsidRPr="00FB202F">
        <w:rPr>
          <w:rFonts w:ascii="Times New Roman" w:eastAsia="Times New Roman" w:hAnsi="Times New Roman" w:cs="Times New Roman"/>
          <w:sz w:val="24"/>
          <w:szCs w:val="24"/>
          <w:shd w:val="clear" w:color="auto" w:fill="FEFEFE"/>
          <w:lang w:eastAsia="bg-BG"/>
        </w:rPr>
        <w:t>с</w:t>
      </w:r>
      <w:r w:rsidRPr="00FB202F">
        <w:rPr>
          <w:rFonts w:ascii="Times New Roman" w:eastAsia="Times New Roman" w:hAnsi="Times New Roman" w:cs="Times New Roman"/>
          <w:sz w:val="24"/>
          <w:szCs w:val="24"/>
          <w:shd w:val="clear" w:color="auto" w:fill="FEFEFE"/>
          <w:lang w:eastAsia="bg-BG"/>
        </w:rPr>
        <w:t>ъотношението на публичното финансиране спрямо допустимите разходи по проекта, изразено в процент;</w:t>
      </w:r>
    </w:p>
    <w:p w14:paraId="6E77BD3C" w14:textId="1F2227A0" w:rsidR="00B42671" w:rsidRPr="00FB202F" w:rsidRDefault="00B42671"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1</w:t>
      </w:r>
      <w:r w:rsidR="00573A54">
        <w:rPr>
          <w:rFonts w:ascii="Times New Roman" w:eastAsia="Times New Roman" w:hAnsi="Times New Roman" w:cs="Times New Roman"/>
          <w:sz w:val="24"/>
          <w:szCs w:val="24"/>
          <w:shd w:val="clear" w:color="auto" w:fill="FEFEFE"/>
          <w:lang w:eastAsia="bg-BG"/>
        </w:rPr>
        <w:t>2</w:t>
      </w:r>
      <w:r w:rsidRPr="00FB202F">
        <w:rPr>
          <w:rFonts w:ascii="Times New Roman" w:eastAsia="Times New Roman" w:hAnsi="Times New Roman" w:cs="Times New Roman"/>
          <w:sz w:val="24"/>
          <w:szCs w:val="24"/>
          <w:shd w:val="clear" w:color="auto" w:fill="FEFEFE"/>
          <w:lang w:eastAsia="bg-BG"/>
        </w:rPr>
        <w:t xml:space="preserve">. „Интервенция“ - </w:t>
      </w:r>
      <w:r w:rsidR="00BB4C96" w:rsidRPr="00FB202F">
        <w:rPr>
          <w:rFonts w:ascii="Times New Roman" w:eastAsia="Times New Roman" w:hAnsi="Times New Roman" w:cs="Times New Roman"/>
          <w:sz w:val="24"/>
          <w:szCs w:val="24"/>
          <w:shd w:val="clear" w:color="auto" w:fill="FEFEFE"/>
          <w:lang w:eastAsia="bg-BG"/>
        </w:rPr>
        <w:t>и</w:t>
      </w:r>
      <w:r w:rsidRPr="00FB202F">
        <w:rPr>
          <w:rFonts w:ascii="Times New Roman" w:eastAsia="Times New Roman" w:hAnsi="Times New Roman" w:cs="Times New Roman"/>
          <w:sz w:val="24"/>
          <w:szCs w:val="24"/>
          <w:shd w:val="clear" w:color="auto" w:fill="FEFEFE"/>
          <w:lang w:eastAsia="bg-BG"/>
        </w:rPr>
        <w:t xml:space="preserve">нструмент за подпомагане с набор от условия за допустимост, определени в СПРЗСР; </w:t>
      </w:r>
    </w:p>
    <w:p w14:paraId="02A3910D" w14:textId="7C56E260" w:rsidR="00B42671" w:rsidRPr="00FB202F" w:rsidRDefault="00B42671" w:rsidP="001E1620">
      <w:pPr>
        <w:widowControl w:val="0"/>
        <w:pBdr>
          <w:left w:val="single" w:sz="4" w:space="0"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1</w:t>
      </w:r>
      <w:r w:rsidR="00573A54">
        <w:rPr>
          <w:rFonts w:ascii="Times New Roman" w:eastAsia="Times New Roman" w:hAnsi="Times New Roman" w:cs="Times New Roman"/>
          <w:sz w:val="24"/>
          <w:szCs w:val="24"/>
          <w:shd w:val="clear" w:color="auto" w:fill="FEFEFE"/>
          <w:lang w:eastAsia="bg-BG"/>
        </w:rPr>
        <w:t>3</w:t>
      </w:r>
      <w:r w:rsidRPr="00FB202F">
        <w:rPr>
          <w:rFonts w:ascii="Times New Roman" w:eastAsia="Times New Roman" w:hAnsi="Times New Roman" w:cs="Times New Roman"/>
          <w:sz w:val="24"/>
          <w:szCs w:val="24"/>
          <w:shd w:val="clear" w:color="auto" w:fill="FEFEFE"/>
          <w:lang w:eastAsia="bg-BG"/>
        </w:rPr>
        <w:t xml:space="preserve">. „Кандидат“ - </w:t>
      </w:r>
      <w:r w:rsidR="00BB4C96" w:rsidRPr="00FB202F">
        <w:rPr>
          <w:rFonts w:ascii="Times New Roman" w:eastAsia="Times New Roman" w:hAnsi="Times New Roman" w:cs="Times New Roman"/>
          <w:sz w:val="24"/>
          <w:szCs w:val="24"/>
          <w:shd w:val="clear" w:color="auto" w:fill="FEFEFE"/>
          <w:lang w:eastAsia="bg-BG"/>
        </w:rPr>
        <w:t>л</w:t>
      </w:r>
      <w:r w:rsidRPr="00FB202F">
        <w:rPr>
          <w:rFonts w:ascii="Times New Roman" w:eastAsia="Times New Roman" w:hAnsi="Times New Roman" w:cs="Times New Roman"/>
          <w:sz w:val="24"/>
          <w:szCs w:val="24"/>
          <w:shd w:val="clear" w:color="auto" w:fill="FEFEFE"/>
          <w:lang w:eastAsia="bg-BG"/>
        </w:rPr>
        <w:t xml:space="preserve">ице, подало </w:t>
      </w:r>
      <w:r w:rsidR="002B730E">
        <w:rPr>
          <w:rFonts w:ascii="Times New Roman" w:eastAsia="Times New Roman" w:hAnsi="Times New Roman" w:cs="Times New Roman"/>
          <w:sz w:val="24"/>
          <w:szCs w:val="24"/>
          <w:shd w:val="clear" w:color="auto" w:fill="FEFEFE"/>
          <w:lang w:eastAsia="bg-BG"/>
        </w:rPr>
        <w:t>формуляр за кандидатстване</w:t>
      </w:r>
      <w:r w:rsidRPr="00FB202F">
        <w:rPr>
          <w:rFonts w:ascii="Times New Roman" w:eastAsia="Times New Roman" w:hAnsi="Times New Roman" w:cs="Times New Roman"/>
          <w:sz w:val="24"/>
          <w:szCs w:val="24"/>
          <w:shd w:val="clear" w:color="auto" w:fill="FEFEFE"/>
          <w:lang w:eastAsia="bg-BG"/>
        </w:rPr>
        <w:t>;</w:t>
      </w:r>
    </w:p>
    <w:p w14:paraId="580042B7" w14:textId="286185D3" w:rsidR="00B42671" w:rsidRPr="00FB202F" w:rsidRDefault="00B42671">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1</w:t>
      </w:r>
      <w:r w:rsidR="00573A54">
        <w:rPr>
          <w:rFonts w:ascii="Times New Roman" w:eastAsia="Times New Roman" w:hAnsi="Times New Roman" w:cs="Times New Roman"/>
          <w:sz w:val="24"/>
          <w:szCs w:val="24"/>
          <w:shd w:val="clear" w:color="auto" w:fill="FEFEFE"/>
          <w:lang w:eastAsia="bg-BG"/>
        </w:rPr>
        <w:t>4</w:t>
      </w:r>
      <w:r w:rsidRPr="00FB202F">
        <w:rPr>
          <w:rFonts w:ascii="Times New Roman" w:eastAsia="Times New Roman" w:hAnsi="Times New Roman" w:cs="Times New Roman"/>
          <w:sz w:val="24"/>
          <w:szCs w:val="24"/>
          <w:shd w:val="clear" w:color="auto" w:fill="FEFEFE"/>
          <w:lang w:eastAsia="bg-BG"/>
        </w:rPr>
        <w:t xml:space="preserve">. „Колективни инвестиции“ - </w:t>
      </w:r>
      <w:r w:rsidR="00BB4C96" w:rsidRPr="00FB202F">
        <w:rPr>
          <w:rFonts w:ascii="Times New Roman" w:eastAsia="Times New Roman" w:hAnsi="Times New Roman" w:cs="Times New Roman"/>
          <w:sz w:val="24"/>
          <w:szCs w:val="24"/>
          <w:shd w:val="clear" w:color="auto" w:fill="FEFEFE"/>
          <w:lang w:eastAsia="bg-BG"/>
        </w:rPr>
        <w:t>и</w:t>
      </w:r>
      <w:r w:rsidRPr="00FB202F">
        <w:rPr>
          <w:rFonts w:ascii="Times New Roman" w:eastAsia="Times New Roman" w:hAnsi="Times New Roman" w:cs="Times New Roman"/>
          <w:sz w:val="24"/>
          <w:szCs w:val="24"/>
          <w:shd w:val="clear" w:color="auto" w:fill="FEFEFE"/>
          <w:lang w:eastAsia="bg-BG"/>
        </w:rPr>
        <w:t xml:space="preserve">нвестиции от две или повече физически или юридически лица, които са </w:t>
      </w:r>
      <w:r w:rsidR="001F03E0">
        <w:rPr>
          <w:rFonts w:ascii="Times New Roman" w:eastAsia="Times New Roman" w:hAnsi="Times New Roman" w:cs="Times New Roman"/>
          <w:sz w:val="24"/>
          <w:szCs w:val="24"/>
          <w:shd w:val="clear" w:color="auto" w:fill="FEFEFE"/>
          <w:lang w:eastAsia="bg-BG"/>
        </w:rPr>
        <w:t xml:space="preserve">учредили </w:t>
      </w:r>
      <w:r w:rsidRPr="00FB202F">
        <w:rPr>
          <w:rFonts w:ascii="Times New Roman" w:eastAsia="Times New Roman" w:hAnsi="Times New Roman" w:cs="Times New Roman"/>
          <w:sz w:val="24"/>
          <w:szCs w:val="24"/>
          <w:shd w:val="clear" w:color="auto" w:fill="FEFEFE"/>
          <w:lang w:eastAsia="bg-BG"/>
        </w:rPr>
        <w:t>структура по реда на Закона за задълженията и договорите, която се създава за съвместно закупуване и ползване на материални активи за земеделски дейности в съответствие с чл. 73 от Регламент (ЕС) 2021/2115;</w:t>
      </w:r>
    </w:p>
    <w:p w14:paraId="1D0C39A8" w14:textId="67B94AA1" w:rsidR="00B42671" w:rsidRPr="00FB202F" w:rsidRDefault="00B42671">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1</w:t>
      </w:r>
      <w:r w:rsidR="00573A54">
        <w:rPr>
          <w:rFonts w:ascii="Times New Roman" w:eastAsia="Times New Roman" w:hAnsi="Times New Roman" w:cs="Times New Roman"/>
          <w:sz w:val="24"/>
          <w:szCs w:val="24"/>
          <w:shd w:val="clear" w:color="auto" w:fill="FEFEFE"/>
          <w:lang w:eastAsia="bg-BG"/>
        </w:rPr>
        <w:t>5</w:t>
      </w:r>
      <w:r w:rsidRPr="00FB202F">
        <w:rPr>
          <w:rFonts w:ascii="Times New Roman" w:eastAsia="Times New Roman" w:hAnsi="Times New Roman" w:cs="Times New Roman"/>
          <w:sz w:val="24"/>
          <w:szCs w:val="24"/>
          <w:shd w:val="clear" w:color="auto" w:fill="FEFEFE"/>
          <w:lang w:eastAsia="bg-BG"/>
        </w:rPr>
        <w:t xml:space="preserve">. „Места за настаняване“ </w:t>
      </w:r>
      <w:r w:rsidR="007775B2">
        <w:rPr>
          <w:rFonts w:ascii="Times New Roman" w:eastAsia="Times New Roman" w:hAnsi="Times New Roman" w:cs="Times New Roman"/>
          <w:sz w:val="24"/>
          <w:szCs w:val="24"/>
          <w:shd w:val="clear" w:color="auto" w:fill="FEFEFE"/>
          <w:lang w:eastAsia="bg-BG"/>
        </w:rPr>
        <w:t>–</w:t>
      </w:r>
      <w:r w:rsidRPr="00FB202F">
        <w:rPr>
          <w:rFonts w:ascii="Times New Roman" w:eastAsia="Times New Roman" w:hAnsi="Times New Roman" w:cs="Times New Roman"/>
          <w:sz w:val="24"/>
          <w:szCs w:val="24"/>
          <w:shd w:val="clear" w:color="auto" w:fill="FEFEFE"/>
          <w:lang w:eastAsia="bg-BG"/>
        </w:rPr>
        <w:t xml:space="preserve"> </w:t>
      </w:r>
      <w:r w:rsidR="007775B2">
        <w:rPr>
          <w:rFonts w:ascii="Times New Roman" w:eastAsia="Times New Roman" w:hAnsi="Times New Roman" w:cs="Times New Roman"/>
          <w:sz w:val="24"/>
          <w:szCs w:val="24"/>
          <w:shd w:val="clear" w:color="auto" w:fill="FEFEFE"/>
          <w:lang w:eastAsia="bg-BG"/>
        </w:rPr>
        <w:t xml:space="preserve">туристически обекти, съгласно чл. 3, ал. 2, т.1 от </w:t>
      </w:r>
      <w:r w:rsidRPr="00FB202F">
        <w:rPr>
          <w:rFonts w:ascii="Times New Roman" w:eastAsia="Times New Roman" w:hAnsi="Times New Roman" w:cs="Times New Roman"/>
          <w:sz w:val="24"/>
          <w:szCs w:val="24"/>
          <w:shd w:val="clear" w:color="auto" w:fill="FEFEFE"/>
          <w:lang w:eastAsia="bg-BG"/>
        </w:rPr>
        <w:t>Закона за туризма;</w:t>
      </w:r>
    </w:p>
    <w:p w14:paraId="75678B50" w14:textId="2B2FBD44" w:rsidR="006618AA" w:rsidRDefault="00B42671">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1</w:t>
      </w:r>
      <w:r w:rsidR="00573A54">
        <w:rPr>
          <w:rFonts w:ascii="Times New Roman" w:eastAsia="Times New Roman" w:hAnsi="Times New Roman" w:cs="Times New Roman"/>
          <w:sz w:val="24"/>
          <w:szCs w:val="24"/>
          <w:shd w:val="clear" w:color="auto" w:fill="FEFEFE"/>
          <w:lang w:eastAsia="bg-BG"/>
        </w:rPr>
        <w:t>6</w:t>
      </w:r>
      <w:r w:rsidRPr="00FB202F">
        <w:rPr>
          <w:rFonts w:ascii="Times New Roman" w:eastAsia="Times New Roman" w:hAnsi="Times New Roman" w:cs="Times New Roman"/>
          <w:sz w:val="24"/>
          <w:szCs w:val="24"/>
          <w:shd w:val="clear" w:color="auto" w:fill="FEFEFE"/>
          <w:lang w:eastAsia="bg-BG"/>
        </w:rPr>
        <w:t xml:space="preserve">. </w:t>
      </w:r>
      <w:r w:rsidR="006618AA">
        <w:rPr>
          <w:rFonts w:ascii="Times New Roman" w:eastAsia="Times New Roman" w:hAnsi="Times New Roman" w:cs="Times New Roman"/>
          <w:sz w:val="24"/>
          <w:szCs w:val="24"/>
          <w:shd w:val="clear" w:color="auto" w:fill="FEFEFE"/>
          <w:lang w:eastAsia="bg-BG"/>
        </w:rPr>
        <w:t>„Млади хора“ – лица</w:t>
      </w:r>
      <w:r w:rsidR="00DC0EC1">
        <w:rPr>
          <w:rFonts w:ascii="Times New Roman" w:eastAsia="Times New Roman" w:hAnsi="Times New Roman" w:cs="Times New Roman"/>
          <w:sz w:val="24"/>
          <w:szCs w:val="24"/>
          <w:shd w:val="clear" w:color="auto" w:fill="FEFEFE"/>
          <w:lang w:eastAsia="bg-BG"/>
        </w:rPr>
        <w:t>,</w:t>
      </w:r>
      <w:r w:rsidR="006618AA">
        <w:rPr>
          <w:rFonts w:ascii="Times New Roman" w:eastAsia="Times New Roman" w:hAnsi="Times New Roman" w:cs="Times New Roman"/>
          <w:sz w:val="24"/>
          <w:szCs w:val="24"/>
          <w:shd w:val="clear" w:color="auto" w:fill="FEFEFE"/>
          <w:lang w:eastAsia="bg-BG"/>
        </w:rPr>
        <w:t xml:space="preserve"> н</w:t>
      </w:r>
      <w:r w:rsidR="00164FF3">
        <w:rPr>
          <w:rFonts w:ascii="Times New Roman" w:eastAsia="Times New Roman" w:hAnsi="Times New Roman" w:cs="Times New Roman"/>
          <w:sz w:val="24"/>
          <w:szCs w:val="24"/>
          <w:shd w:val="clear" w:color="auto" w:fill="FEFEFE"/>
          <w:lang w:eastAsia="bg-BG"/>
        </w:rPr>
        <w:t>ена</w:t>
      </w:r>
      <w:r w:rsidR="006618AA">
        <w:rPr>
          <w:rFonts w:ascii="Times New Roman" w:eastAsia="Times New Roman" w:hAnsi="Times New Roman" w:cs="Times New Roman"/>
          <w:sz w:val="24"/>
          <w:szCs w:val="24"/>
          <w:shd w:val="clear" w:color="auto" w:fill="FEFEFE"/>
          <w:lang w:eastAsia="bg-BG"/>
        </w:rPr>
        <w:t>върши</w:t>
      </w:r>
      <w:r w:rsidR="00DC0EC1">
        <w:rPr>
          <w:rFonts w:ascii="Times New Roman" w:eastAsia="Times New Roman" w:hAnsi="Times New Roman" w:cs="Times New Roman"/>
          <w:sz w:val="24"/>
          <w:szCs w:val="24"/>
          <w:shd w:val="clear" w:color="auto" w:fill="FEFEFE"/>
          <w:lang w:eastAsia="bg-BG"/>
        </w:rPr>
        <w:t>ли</w:t>
      </w:r>
      <w:r w:rsidR="006618AA">
        <w:rPr>
          <w:rFonts w:ascii="Times New Roman" w:eastAsia="Times New Roman" w:hAnsi="Times New Roman" w:cs="Times New Roman"/>
          <w:sz w:val="24"/>
          <w:szCs w:val="24"/>
          <w:shd w:val="clear" w:color="auto" w:fill="FEFEFE"/>
          <w:lang w:eastAsia="bg-BG"/>
        </w:rPr>
        <w:t xml:space="preserve"> </w:t>
      </w:r>
      <w:r w:rsidR="00DC0EC1">
        <w:rPr>
          <w:rFonts w:ascii="Times New Roman" w:eastAsia="Times New Roman" w:hAnsi="Times New Roman" w:cs="Times New Roman"/>
          <w:sz w:val="24"/>
          <w:szCs w:val="24"/>
          <w:shd w:val="clear" w:color="auto" w:fill="FEFEFE"/>
          <w:lang w:eastAsia="bg-BG"/>
        </w:rPr>
        <w:t xml:space="preserve">40 </w:t>
      </w:r>
      <w:r w:rsidR="006618AA">
        <w:rPr>
          <w:rFonts w:ascii="Times New Roman" w:eastAsia="Times New Roman" w:hAnsi="Times New Roman" w:cs="Times New Roman"/>
          <w:sz w:val="24"/>
          <w:szCs w:val="24"/>
          <w:shd w:val="clear" w:color="auto" w:fill="FEFEFE"/>
          <w:lang w:eastAsia="bg-BG"/>
        </w:rPr>
        <w:t>години;</w:t>
      </w:r>
    </w:p>
    <w:p w14:paraId="790C9DF9" w14:textId="211B1097" w:rsidR="00B42671" w:rsidRPr="00FB202F" w:rsidRDefault="006618AA">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 xml:space="preserve">17. </w:t>
      </w:r>
      <w:r w:rsidR="00B42671" w:rsidRPr="00FB202F">
        <w:rPr>
          <w:rFonts w:ascii="Times New Roman" w:eastAsia="Times New Roman" w:hAnsi="Times New Roman" w:cs="Times New Roman"/>
          <w:sz w:val="24"/>
          <w:szCs w:val="24"/>
          <w:shd w:val="clear" w:color="auto" w:fill="FEFEFE"/>
          <w:lang w:eastAsia="bg-BG"/>
        </w:rPr>
        <w:t>„Мярка“ - Интервенция съгласно чл. 3, параграф 3 от Регламент (ЕС) 2021/2115</w:t>
      </w:r>
      <w:r w:rsidR="00B63B6A">
        <w:rPr>
          <w:rFonts w:ascii="Times New Roman" w:eastAsia="Times New Roman" w:hAnsi="Times New Roman" w:cs="Times New Roman"/>
          <w:sz w:val="24"/>
          <w:szCs w:val="24"/>
          <w:shd w:val="clear" w:color="auto" w:fill="FEFEFE"/>
          <w:lang w:eastAsia="bg-BG"/>
        </w:rPr>
        <w:t>, включена в стратегия за ВОМР на МИГ</w:t>
      </w:r>
      <w:r w:rsidR="00B42671" w:rsidRPr="00FB202F">
        <w:rPr>
          <w:rFonts w:ascii="Times New Roman" w:eastAsia="Times New Roman" w:hAnsi="Times New Roman" w:cs="Times New Roman"/>
          <w:sz w:val="24"/>
          <w:szCs w:val="24"/>
          <w:shd w:val="clear" w:color="auto" w:fill="FEFEFE"/>
          <w:lang w:eastAsia="bg-BG"/>
        </w:rPr>
        <w:t>;</w:t>
      </w:r>
    </w:p>
    <w:p w14:paraId="74153F48" w14:textId="0DB5E51E" w:rsidR="00B42671" w:rsidRPr="00FB202F" w:rsidRDefault="00B42671">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1</w:t>
      </w:r>
      <w:r w:rsidR="006618AA">
        <w:rPr>
          <w:rFonts w:ascii="Times New Roman" w:eastAsia="Times New Roman" w:hAnsi="Times New Roman" w:cs="Times New Roman"/>
          <w:sz w:val="24"/>
          <w:szCs w:val="24"/>
          <w:shd w:val="clear" w:color="auto" w:fill="FEFEFE"/>
          <w:lang w:eastAsia="bg-BG"/>
        </w:rPr>
        <w:t>8</w:t>
      </w:r>
      <w:r w:rsidRPr="00FB202F">
        <w:rPr>
          <w:rFonts w:ascii="Times New Roman" w:eastAsia="Times New Roman" w:hAnsi="Times New Roman" w:cs="Times New Roman"/>
          <w:sz w:val="24"/>
          <w:szCs w:val="24"/>
          <w:shd w:val="clear" w:color="auto" w:fill="FEFEFE"/>
          <w:lang w:eastAsia="bg-BG"/>
        </w:rPr>
        <w:t>. „Невъзстановим ДДС“ – ДДС, неподлежащ на възстановяване от компетентен орган по приходите съгласно разпоредбите на ЗДДС, и представлява допустим разход;</w:t>
      </w:r>
    </w:p>
    <w:p w14:paraId="6E29A7A9" w14:textId="1623682C" w:rsidR="00B42671" w:rsidRPr="00AE25F3" w:rsidRDefault="00B42671">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FB202F">
        <w:rPr>
          <w:rFonts w:ascii="Times New Roman" w:eastAsia="Times New Roman" w:hAnsi="Times New Roman" w:cs="Times New Roman"/>
          <w:sz w:val="24"/>
          <w:szCs w:val="24"/>
          <w:shd w:val="clear" w:color="auto" w:fill="FEFEFE"/>
          <w:lang w:eastAsia="bg-BG"/>
        </w:rPr>
        <w:t>1</w:t>
      </w:r>
      <w:r w:rsidR="006618AA">
        <w:rPr>
          <w:rFonts w:ascii="Times New Roman" w:eastAsia="Times New Roman" w:hAnsi="Times New Roman" w:cs="Times New Roman"/>
          <w:sz w:val="24"/>
          <w:szCs w:val="24"/>
          <w:shd w:val="clear" w:color="auto" w:fill="FEFEFE"/>
          <w:lang w:eastAsia="bg-BG"/>
        </w:rPr>
        <w:t>9</w:t>
      </w:r>
      <w:r w:rsidRPr="00FB202F">
        <w:rPr>
          <w:rFonts w:ascii="Times New Roman" w:eastAsia="Times New Roman" w:hAnsi="Times New Roman" w:cs="Times New Roman"/>
          <w:sz w:val="24"/>
          <w:szCs w:val="24"/>
          <w:shd w:val="clear" w:color="auto" w:fill="FEFEFE"/>
          <w:lang w:eastAsia="bg-BG"/>
        </w:rPr>
        <w:t xml:space="preserve">. </w:t>
      </w:r>
      <w:r w:rsidR="00A155DD" w:rsidRPr="00FB202F">
        <w:rPr>
          <w:rFonts w:ascii="Times New Roman" w:eastAsia="Times New Roman" w:hAnsi="Times New Roman" w:cs="Times New Roman"/>
          <w:sz w:val="24"/>
          <w:szCs w:val="24"/>
          <w:shd w:val="clear" w:color="auto" w:fill="FEFEFE"/>
          <w:lang w:eastAsia="bg-BG"/>
        </w:rPr>
        <w:t xml:space="preserve">„Нередност“ съгласно определението, дадено в чл. 1, параграф 2 от Регламент на </w:t>
      </w:r>
      <w:r w:rsidR="00A155DD" w:rsidRPr="00FB202F">
        <w:rPr>
          <w:rFonts w:ascii="Times New Roman" w:eastAsia="Times New Roman" w:hAnsi="Times New Roman" w:cs="Times New Roman"/>
          <w:sz w:val="24"/>
          <w:szCs w:val="24"/>
          <w:shd w:val="clear" w:color="auto" w:fill="FEFEFE"/>
          <w:lang w:eastAsia="bg-BG"/>
        </w:rPr>
        <w:lastRenderedPageBreak/>
        <w:t xml:space="preserve">Съвета (ЕО, </w:t>
      </w:r>
      <w:proofErr w:type="spellStart"/>
      <w:r w:rsidR="00A155DD" w:rsidRPr="00FB202F">
        <w:rPr>
          <w:rFonts w:ascii="Times New Roman" w:eastAsia="Times New Roman" w:hAnsi="Times New Roman" w:cs="Times New Roman"/>
          <w:sz w:val="24"/>
          <w:szCs w:val="24"/>
          <w:shd w:val="clear" w:color="auto" w:fill="FEFEFE"/>
          <w:lang w:eastAsia="bg-BG"/>
        </w:rPr>
        <w:t>Евратом</w:t>
      </w:r>
      <w:proofErr w:type="spellEnd"/>
      <w:r w:rsidR="00A155DD" w:rsidRPr="00FB202F">
        <w:rPr>
          <w:rFonts w:ascii="Times New Roman" w:eastAsia="Times New Roman" w:hAnsi="Times New Roman" w:cs="Times New Roman"/>
          <w:sz w:val="24"/>
          <w:szCs w:val="24"/>
          <w:shd w:val="clear" w:color="auto" w:fill="FEFEFE"/>
          <w:lang w:eastAsia="bg-BG"/>
        </w:rPr>
        <w:t>) № 2988/95 от 18 декември 1995 г.  относно защитата на финансовите интереси на Европейските общности (ОВ, L 312 от 23 декември 1995 г.)</w:t>
      </w:r>
      <w:r w:rsidR="00AE7E8A">
        <w:rPr>
          <w:rFonts w:ascii="Times New Roman" w:eastAsia="Times New Roman" w:hAnsi="Times New Roman" w:cs="Times New Roman"/>
          <w:sz w:val="24"/>
          <w:szCs w:val="24"/>
          <w:shd w:val="clear" w:color="auto" w:fill="FEFEFE"/>
          <w:lang w:eastAsia="bg-BG"/>
        </w:rPr>
        <w:t xml:space="preserve"> </w:t>
      </w:r>
      <w:r w:rsidR="003D64B5">
        <w:rPr>
          <w:rFonts w:ascii="Times New Roman" w:eastAsia="Times New Roman" w:hAnsi="Times New Roman" w:cs="Times New Roman"/>
          <w:sz w:val="24"/>
          <w:szCs w:val="24"/>
          <w:shd w:val="clear" w:color="auto" w:fill="FEFEFE"/>
          <w:lang w:eastAsia="bg-BG"/>
        </w:rPr>
        <w:t>е</w:t>
      </w:r>
      <w:r w:rsidR="00A155DD" w:rsidRPr="00FB202F">
        <w:rPr>
          <w:rFonts w:ascii="Times New Roman" w:eastAsia="Times New Roman" w:hAnsi="Times New Roman" w:cs="Times New Roman"/>
          <w:sz w:val="24"/>
          <w:szCs w:val="24"/>
          <w:shd w:val="clear" w:color="auto" w:fill="FEFEFE"/>
          <w:lang w:eastAsia="bg-BG"/>
        </w:rPr>
        <w:t xml:space="preserve">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 Специфичните определения за нередност и системна нередност относно програмите по ЕФСУ са посочени в чл. 2, § 31 и § 33 от Регламент (ЕС) 2021/1060</w:t>
      </w:r>
      <w:r w:rsidR="00C86E85">
        <w:rPr>
          <w:rFonts w:ascii="Times New Roman" w:eastAsia="Times New Roman" w:hAnsi="Times New Roman" w:cs="Times New Roman"/>
          <w:sz w:val="24"/>
          <w:szCs w:val="24"/>
          <w:shd w:val="clear" w:color="auto" w:fill="FEFEFE"/>
          <w:lang w:eastAsia="bg-BG"/>
        </w:rPr>
        <w:t>;</w:t>
      </w:r>
    </w:p>
    <w:p w14:paraId="4F11FDFF" w14:textId="6E35EC40" w:rsidR="00B42671" w:rsidRPr="00C86E85" w:rsidRDefault="006618AA">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20</w:t>
      </w:r>
      <w:r w:rsidR="00B42671" w:rsidRPr="00AE25F3">
        <w:rPr>
          <w:rFonts w:ascii="Times New Roman" w:eastAsia="Times New Roman" w:hAnsi="Times New Roman" w:cs="Times New Roman"/>
          <w:sz w:val="24"/>
          <w:szCs w:val="24"/>
          <w:shd w:val="clear" w:color="auto" w:fill="FEFEFE"/>
          <w:lang w:eastAsia="bg-BG"/>
        </w:rPr>
        <w:t xml:space="preserve">. „Обикновена </w:t>
      </w:r>
      <w:r w:rsidR="00B42671" w:rsidRPr="00C86E85">
        <w:rPr>
          <w:rFonts w:ascii="Times New Roman" w:eastAsia="Times New Roman" w:hAnsi="Times New Roman" w:cs="Times New Roman"/>
          <w:sz w:val="24"/>
          <w:szCs w:val="24"/>
          <w:shd w:val="clear" w:color="auto" w:fill="FEFEFE"/>
          <w:lang w:eastAsia="bg-BG"/>
        </w:rPr>
        <w:t>подмяна“ - замяна на дълготраен актив с друг, която не води до качествени или количествени изменения на произведения продукт;</w:t>
      </w:r>
    </w:p>
    <w:p w14:paraId="32E2F8C0" w14:textId="25B53974" w:rsidR="00B42671" w:rsidRPr="002E245F" w:rsidRDefault="00573A54">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2</w:t>
      </w:r>
      <w:r w:rsidR="006618AA">
        <w:rPr>
          <w:rFonts w:ascii="Times New Roman" w:eastAsia="Times New Roman" w:hAnsi="Times New Roman" w:cs="Times New Roman"/>
          <w:sz w:val="24"/>
          <w:szCs w:val="24"/>
          <w:shd w:val="clear" w:color="auto" w:fill="FEFEFE"/>
          <w:lang w:eastAsia="bg-BG"/>
        </w:rPr>
        <w:t>1</w:t>
      </w:r>
      <w:r w:rsidR="00B42671" w:rsidRPr="002E245F">
        <w:rPr>
          <w:rFonts w:ascii="Times New Roman" w:eastAsia="Times New Roman" w:hAnsi="Times New Roman" w:cs="Times New Roman"/>
          <w:sz w:val="24"/>
          <w:szCs w:val="24"/>
          <w:shd w:val="clear" w:color="auto" w:fill="FEFEFE"/>
          <w:lang w:eastAsia="bg-BG"/>
        </w:rPr>
        <w:t>. „Обществена полза“ - всяка дейност, за която се извършват разходи по смисъла на чл. 38, ал. 1 от Закона за юридическите лица с нестопанска цел;</w:t>
      </w:r>
    </w:p>
    <w:p w14:paraId="486DA4DC" w14:textId="3469E7B1" w:rsidR="00B42671" w:rsidRPr="002E245F" w:rsidRDefault="00B42671">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2E245F">
        <w:rPr>
          <w:rFonts w:ascii="Times New Roman" w:eastAsia="Times New Roman" w:hAnsi="Times New Roman" w:cs="Times New Roman"/>
          <w:sz w:val="24"/>
          <w:szCs w:val="24"/>
          <w:shd w:val="clear" w:color="auto" w:fill="FEFEFE"/>
          <w:lang w:eastAsia="bg-BG"/>
        </w:rPr>
        <w:t>2</w:t>
      </w:r>
      <w:r w:rsidR="006618AA">
        <w:rPr>
          <w:rFonts w:ascii="Times New Roman" w:eastAsia="Times New Roman" w:hAnsi="Times New Roman" w:cs="Times New Roman"/>
          <w:sz w:val="24"/>
          <w:szCs w:val="24"/>
          <w:shd w:val="clear" w:color="auto" w:fill="FEFEFE"/>
          <w:lang w:eastAsia="bg-BG"/>
        </w:rPr>
        <w:t>2</w:t>
      </w:r>
      <w:r w:rsidRPr="002E245F">
        <w:rPr>
          <w:rFonts w:ascii="Times New Roman" w:eastAsia="Times New Roman" w:hAnsi="Times New Roman" w:cs="Times New Roman"/>
          <w:sz w:val="24"/>
          <w:szCs w:val="24"/>
          <w:shd w:val="clear" w:color="auto" w:fill="FEFEFE"/>
          <w:lang w:eastAsia="bg-BG"/>
        </w:rPr>
        <w:t>. „Операция“ - понятие по смисъла на чл. 2, параграф 4 от Регламент (ЕС) № 2021/1060;</w:t>
      </w:r>
    </w:p>
    <w:p w14:paraId="315A5C3F" w14:textId="5DEA2EE4" w:rsidR="00B42671" w:rsidRDefault="00B42671">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2E245F">
        <w:rPr>
          <w:rFonts w:ascii="Times New Roman" w:eastAsia="Times New Roman" w:hAnsi="Times New Roman" w:cs="Times New Roman"/>
          <w:sz w:val="24"/>
          <w:szCs w:val="24"/>
          <w:shd w:val="clear" w:color="auto" w:fill="FEFEFE"/>
          <w:lang w:eastAsia="bg-BG"/>
        </w:rPr>
        <w:t>2</w:t>
      </w:r>
      <w:r w:rsidR="006618AA">
        <w:rPr>
          <w:rFonts w:ascii="Times New Roman" w:eastAsia="Times New Roman" w:hAnsi="Times New Roman" w:cs="Times New Roman"/>
          <w:sz w:val="24"/>
          <w:szCs w:val="24"/>
          <w:shd w:val="clear" w:color="auto" w:fill="FEFEFE"/>
          <w:lang w:eastAsia="bg-BG"/>
        </w:rPr>
        <w:t>3</w:t>
      </w:r>
      <w:r w:rsidRPr="002E245F">
        <w:rPr>
          <w:rFonts w:ascii="Times New Roman" w:eastAsia="Times New Roman" w:hAnsi="Times New Roman" w:cs="Times New Roman"/>
          <w:sz w:val="24"/>
          <w:szCs w:val="24"/>
          <w:shd w:val="clear" w:color="auto" w:fill="FEFEFE"/>
          <w:lang w:eastAsia="bg-BG"/>
        </w:rPr>
        <w:t>. „Опит в изпълне</w:t>
      </w:r>
      <w:r w:rsidR="00AE7E8A">
        <w:rPr>
          <w:rFonts w:ascii="Times New Roman" w:eastAsia="Times New Roman" w:hAnsi="Times New Roman" w:cs="Times New Roman"/>
          <w:sz w:val="24"/>
          <w:szCs w:val="24"/>
          <w:shd w:val="clear" w:color="auto" w:fill="FEFEFE"/>
          <w:lang w:eastAsia="bg-BG"/>
        </w:rPr>
        <w:t>нието на подхода ЛИДЕР/ВОМР“ - о</w:t>
      </w:r>
      <w:r w:rsidRPr="002E245F">
        <w:rPr>
          <w:rFonts w:ascii="Times New Roman" w:eastAsia="Times New Roman" w:hAnsi="Times New Roman" w:cs="Times New Roman"/>
          <w:sz w:val="24"/>
          <w:szCs w:val="24"/>
          <w:shd w:val="clear" w:color="auto" w:fill="FEFEFE"/>
          <w:lang w:eastAsia="bg-BG"/>
        </w:rPr>
        <w:t>пит в изпълнение на дейности като координатор по проект за подготвителна помощ</w:t>
      </w:r>
      <w:r w:rsidR="002E245F" w:rsidRPr="002E245F">
        <w:rPr>
          <w:rFonts w:ascii="Times New Roman" w:eastAsia="Times New Roman" w:hAnsi="Times New Roman" w:cs="Times New Roman"/>
          <w:sz w:val="24"/>
          <w:szCs w:val="24"/>
          <w:shd w:val="clear" w:color="auto" w:fill="FEFEFE"/>
          <w:lang w:eastAsia="bg-BG"/>
        </w:rPr>
        <w:t xml:space="preserve"> или за сътрудничество по подхода ЛИДЕР/ВОМР</w:t>
      </w:r>
      <w:r w:rsidRPr="002E245F">
        <w:rPr>
          <w:rFonts w:ascii="Times New Roman" w:eastAsia="Times New Roman" w:hAnsi="Times New Roman" w:cs="Times New Roman"/>
          <w:sz w:val="24"/>
          <w:szCs w:val="24"/>
          <w:shd w:val="clear" w:color="auto" w:fill="FEFEFE"/>
          <w:lang w:eastAsia="bg-BG"/>
        </w:rPr>
        <w:t xml:space="preserve">, като служител на МИГ и/или като член на колективния управителен орган на МИГ, изпълнявала проект по </w:t>
      </w:r>
      <w:r w:rsidR="002E245F" w:rsidRPr="002E245F">
        <w:rPr>
          <w:rFonts w:ascii="Times New Roman" w:eastAsia="Times New Roman" w:hAnsi="Times New Roman" w:cs="Times New Roman"/>
          <w:sz w:val="24"/>
          <w:szCs w:val="24"/>
          <w:shd w:val="clear" w:color="auto" w:fill="FEFEFE"/>
          <w:lang w:eastAsia="bg-BG"/>
        </w:rPr>
        <w:t xml:space="preserve">ПРСР/СПРЗСР, както и лице от </w:t>
      </w:r>
      <w:r w:rsidRPr="002E245F">
        <w:rPr>
          <w:rFonts w:ascii="Times New Roman" w:eastAsia="Times New Roman" w:hAnsi="Times New Roman" w:cs="Times New Roman"/>
          <w:sz w:val="24"/>
          <w:szCs w:val="24"/>
          <w:shd w:val="clear" w:color="auto" w:fill="FEFEFE"/>
          <w:lang w:eastAsia="bg-BG"/>
        </w:rPr>
        <w:t>УО</w:t>
      </w:r>
      <w:r w:rsidR="002E245F" w:rsidRPr="002E245F">
        <w:rPr>
          <w:rFonts w:ascii="Times New Roman" w:eastAsia="Times New Roman" w:hAnsi="Times New Roman" w:cs="Times New Roman"/>
          <w:sz w:val="24"/>
          <w:szCs w:val="24"/>
          <w:shd w:val="clear" w:color="auto" w:fill="FEFEFE"/>
          <w:lang w:eastAsia="bg-BG"/>
        </w:rPr>
        <w:t xml:space="preserve"> на програмите, финансиращи</w:t>
      </w:r>
      <w:r w:rsidRPr="002E245F">
        <w:rPr>
          <w:rFonts w:ascii="Times New Roman" w:eastAsia="Times New Roman" w:hAnsi="Times New Roman" w:cs="Times New Roman"/>
          <w:sz w:val="24"/>
          <w:szCs w:val="24"/>
          <w:shd w:val="clear" w:color="auto" w:fill="FEFEFE"/>
          <w:lang w:eastAsia="bg-BG"/>
        </w:rPr>
        <w:t xml:space="preserve"> </w:t>
      </w:r>
      <w:r w:rsidRPr="004E57DF">
        <w:rPr>
          <w:rFonts w:ascii="Times New Roman" w:eastAsia="Times New Roman" w:hAnsi="Times New Roman" w:cs="Times New Roman"/>
          <w:sz w:val="24"/>
          <w:szCs w:val="24"/>
          <w:shd w:val="clear" w:color="auto" w:fill="FEFEFE"/>
          <w:lang w:eastAsia="bg-BG"/>
        </w:rPr>
        <w:t>подхода или</w:t>
      </w:r>
      <w:r w:rsidR="002E245F" w:rsidRPr="004E57DF">
        <w:rPr>
          <w:rFonts w:ascii="Times New Roman" w:eastAsia="Times New Roman" w:hAnsi="Times New Roman" w:cs="Times New Roman"/>
          <w:sz w:val="24"/>
          <w:szCs w:val="24"/>
          <w:shd w:val="clear" w:color="auto" w:fill="FEFEFE"/>
          <w:lang w:eastAsia="bg-BG"/>
        </w:rPr>
        <w:t xml:space="preserve"> ДФЗ, в чиято длъжностна характеристика е включено прилагането на подхода ЛИДЕР/ВОМР</w:t>
      </w:r>
      <w:r w:rsidRPr="004E57DF">
        <w:rPr>
          <w:rFonts w:ascii="Times New Roman" w:eastAsia="Times New Roman" w:hAnsi="Times New Roman" w:cs="Times New Roman"/>
          <w:sz w:val="24"/>
          <w:szCs w:val="24"/>
          <w:shd w:val="clear" w:color="auto" w:fill="FEFEFE"/>
          <w:lang w:eastAsia="bg-BG"/>
        </w:rPr>
        <w:t>;</w:t>
      </w:r>
    </w:p>
    <w:p w14:paraId="59DFF397" w14:textId="617C9246" w:rsidR="00276BA2" w:rsidRPr="004E57DF" w:rsidRDefault="00276BA2" w:rsidP="00276BA2">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2</w:t>
      </w:r>
      <w:r w:rsidR="006618AA">
        <w:rPr>
          <w:rFonts w:ascii="Times New Roman" w:eastAsia="Times New Roman" w:hAnsi="Times New Roman" w:cs="Times New Roman"/>
          <w:sz w:val="24"/>
          <w:szCs w:val="24"/>
          <w:shd w:val="clear" w:color="auto" w:fill="FEFEFE"/>
          <w:lang w:eastAsia="bg-BG"/>
        </w:rPr>
        <w:t>4</w:t>
      </w:r>
      <w:r>
        <w:rPr>
          <w:rFonts w:ascii="Times New Roman" w:eastAsia="Times New Roman" w:hAnsi="Times New Roman" w:cs="Times New Roman"/>
          <w:sz w:val="24"/>
          <w:szCs w:val="24"/>
          <w:shd w:val="clear" w:color="auto" w:fill="FEFEFE"/>
          <w:lang w:eastAsia="bg-BG"/>
        </w:rPr>
        <w:t xml:space="preserve">. </w:t>
      </w:r>
      <w:r w:rsidR="00382330">
        <w:rPr>
          <w:rFonts w:ascii="Times New Roman" w:eastAsia="Times New Roman" w:hAnsi="Times New Roman" w:cs="Times New Roman"/>
          <w:sz w:val="24"/>
          <w:szCs w:val="24"/>
          <w:shd w:val="clear" w:color="auto" w:fill="FEFEFE"/>
          <w:lang w:eastAsia="bg-BG"/>
        </w:rPr>
        <w:t>„</w:t>
      </w:r>
      <w:r w:rsidRPr="00276BA2">
        <w:rPr>
          <w:rFonts w:ascii="Times New Roman" w:eastAsia="Times New Roman" w:hAnsi="Times New Roman" w:cs="Times New Roman"/>
          <w:sz w:val="24"/>
          <w:szCs w:val="24"/>
          <w:shd w:val="clear" w:color="auto" w:fill="FEFEFE"/>
          <w:lang w:eastAsia="bg-BG"/>
        </w:rPr>
        <w:t>Основни земеделски инвестиции</w:t>
      </w:r>
      <w:r w:rsidR="00382330">
        <w:rPr>
          <w:rFonts w:ascii="Times New Roman" w:eastAsia="Times New Roman" w:hAnsi="Times New Roman" w:cs="Times New Roman"/>
          <w:sz w:val="24"/>
          <w:szCs w:val="24"/>
          <w:shd w:val="clear" w:color="auto" w:fill="FEFEFE"/>
          <w:lang w:eastAsia="bg-BG"/>
        </w:rPr>
        <w:t>“ -</w:t>
      </w:r>
      <w:r>
        <w:rPr>
          <w:rFonts w:ascii="Times New Roman" w:eastAsia="Times New Roman" w:hAnsi="Times New Roman" w:cs="Times New Roman"/>
          <w:sz w:val="24"/>
          <w:szCs w:val="24"/>
          <w:shd w:val="clear" w:color="auto" w:fill="FEFEFE"/>
          <w:lang w:eastAsia="bg-BG"/>
        </w:rPr>
        <w:t xml:space="preserve"> с</w:t>
      </w:r>
      <w:r w:rsidRPr="00276BA2">
        <w:rPr>
          <w:rFonts w:ascii="Times New Roman" w:eastAsia="Times New Roman" w:hAnsi="Times New Roman" w:cs="Times New Roman"/>
          <w:sz w:val="24"/>
          <w:szCs w:val="24"/>
          <w:shd w:val="clear" w:color="auto" w:fill="FEFEFE"/>
          <w:lang w:eastAsia="bg-BG"/>
        </w:rPr>
        <w:t xml:space="preserve">амоходна техника </w:t>
      </w:r>
      <w:r w:rsidR="00C77F90" w:rsidRPr="00C77F90">
        <w:rPr>
          <w:rFonts w:ascii="Times New Roman" w:eastAsia="Times New Roman" w:hAnsi="Times New Roman" w:cs="Times New Roman"/>
          <w:sz w:val="24"/>
          <w:szCs w:val="24"/>
          <w:shd w:val="clear" w:color="auto" w:fill="FEFEFE"/>
          <w:lang w:eastAsia="bg-BG"/>
        </w:rPr>
        <w:t xml:space="preserve">за обработка на почвата, прибиране и/или съхранение на реколтата, отглеждане на </w:t>
      </w:r>
      <w:proofErr w:type="spellStart"/>
      <w:r w:rsidR="00C77F90" w:rsidRPr="00C77F90">
        <w:rPr>
          <w:rFonts w:ascii="Times New Roman" w:eastAsia="Times New Roman" w:hAnsi="Times New Roman" w:cs="Times New Roman"/>
          <w:sz w:val="24"/>
          <w:szCs w:val="24"/>
          <w:shd w:val="clear" w:color="auto" w:fill="FEFEFE"/>
          <w:lang w:eastAsia="bg-BG"/>
        </w:rPr>
        <w:t>растениевъдна</w:t>
      </w:r>
      <w:proofErr w:type="spellEnd"/>
      <w:r w:rsidR="00C77F90" w:rsidRPr="00C77F90">
        <w:rPr>
          <w:rFonts w:ascii="Times New Roman" w:eastAsia="Times New Roman" w:hAnsi="Times New Roman" w:cs="Times New Roman"/>
          <w:sz w:val="24"/>
          <w:szCs w:val="24"/>
          <w:shd w:val="clear" w:color="auto" w:fill="FEFEFE"/>
          <w:lang w:eastAsia="bg-BG"/>
        </w:rPr>
        <w:t xml:space="preserve"> и животновъдна продукция </w:t>
      </w:r>
      <w:r w:rsidRPr="00276BA2">
        <w:rPr>
          <w:rFonts w:ascii="Times New Roman" w:eastAsia="Times New Roman" w:hAnsi="Times New Roman" w:cs="Times New Roman"/>
          <w:sz w:val="24"/>
          <w:szCs w:val="24"/>
          <w:shd w:val="clear" w:color="auto" w:fill="FEFEFE"/>
          <w:lang w:eastAsia="bg-BG"/>
        </w:rPr>
        <w:t xml:space="preserve">– </w:t>
      </w:r>
      <w:proofErr w:type="spellStart"/>
      <w:r w:rsidRPr="00276BA2">
        <w:rPr>
          <w:rFonts w:ascii="Times New Roman" w:eastAsia="Times New Roman" w:hAnsi="Times New Roman" w:cs="Times New Roman"/>
          <w:sz w:val="24"/>
          <w:szCs w:val="24"/>
          <w:shd w:val="clear" w:color="auto" w:fill="FEFEFE"/>
          <w:lang w:eastAsia="bg-BG"/>
        </w:rPr>
        <w:t>колесни</w:t>
      </w:r>
      <w:proofErr w:type="spellEnd"/>
      <w:r w:rsidRPr="00276BA2">
        <w:rPr>
          <w:rFonts w:ascii="Times New Roman" w:eastAsia="Times New Roman" w:hAnsi="Times New Roman" w:cs="Times New Roman"/>
          <w:sz w:val="24"/>
          <w:szCs w:val="24"/>
          <w:shd w:val="clear" w:color="auto" w:fill="FEFEFE"/>
          <w:lang w:eastAsia="bg-BG"/>
        </w:rPr>
        <w:t xml:space="preserve"> трактори, верижни трактори, специализирани самоходни машини (силажокомбайни, зърнокомбайни и др.) и друг вид самоходни машини, </w:t>
      </w:r>
      <w:r w:rsidR="0068651B">
        <w:rPr>
          <w:rFonts w:ascii="Times New Roman" w:eastAsia="Times New Roman" w:hAnsi="Times New Roman" w:cs="Times New Roman"/>
          <w:sz w:val="24"/>
          <w:szCs w:val="24"/>
          <w:shd w:val="clear" w:color="auto" w:fill="FEFEFE"/>
          <w:lang w:eastAsia="bg-BG"/>
        </w:rPr>
        <w:t xml:space="preserve">с мощност по-голяма от 50 к.с., </w:t>
      </w:r>
      <w:r w:rsidRPr="00276BA2">
        <w:rPr>
          <w:rFonts w:ascii="Times New Roman" w:eastAsia="Times New Roman" w:hAnsi="Times New Roman" w:cs="Times New Roman"/>
          <w:sz w:val="24"/>
          <w:szCs w:val="24"/>
          <w:shd w:val="clear" w:color="auto" w:fill="FEFEFE"/>
          <w:lang w:eastAsia="bg-BG"/>
        </w:rPr>
        <w:t>включително и когато те се използват в животновъдните обекти</w:t>
      </w:r>
      <w:r w:rsidR="0068651B">
        <w:rPr>
          <w:rFonts w:ascii="Times New Roman" w:eastAsia="Times New Roman" w:hAnsi="Times New Roman" w:cs="Times New Roman"/>
          <w:sz w:val="24"/>
          <w:szCs w:val="24"/>
          <w:shd w:val="clear" w:color="auto" w:fill="FEFEFE"/>
          <w:lang w:eastAsia="bg-BG"/>
        </w:rPr>
        <w:t>.</w:t>
      </w:r>
      <w:r>
        <w:rPr>
          <w:rFonts w:ascii="Times New Roman" w:eastAsia="Times New Roman" w:hAnsi="Times New Roman" w:cs="Times New Roman"/>
          <w:sz w:val="24"/>
          <w:szCs w:val="24"/>
          <w:shd w:val="clear" w:color="auto" w:fill="FEFEFE"/>
          <w:lang w:eastAsia="bg-BG"/>
        </w:rPr>
        <w:t xml:space="preserve"> </w:t>
      </w:r>
      <w:r w:rsidRPr="00276BA2">
        <w:rPr>
          <w:rFonts w:ascii="Times New Roman" w:eastAsia="Times New Roman" w:hAnsi="Times New Roman" w:cs="Times New Roman"/>
          <w:sz w:val="24"/>
          <w:szCs w:val="24"/>
          <w:shd w:val="clear" w:color="auto" w:fill="FEFEFE"/>
          <w:lang w:eastAsia="bg-BG"/>
        </w:rPr>
        <w:t>Прикачен инвентар не следва да се третира като основни земеделски инвестиции</w:t>
      </w:r>
      <w:r w:rsidR="003A78C2">
        <w:rPr>
          <w:rFonts w:ascii="Times New Roman" w:eastAsia="Times New Roman" w:hAnsi="Times New Roman" w:cs="Times New Roman"/>
          <w:sz w:val="24"/>
          <w:szCs w:val="24"/>
          <w:shd w:val="clear" w:color="auto" w:fill="FEFEFE"/>
          <w:lang w:eastAsia="bg-BG"/>
        </w:rPr>
        <w:t>;</w:t>
      </w:r>
    </w:p>
    <w:p w14:paraId="7291ABEF" w14:textId="2479F8FB" w:rsidR="00B42671" w:rsidRDefault="00B42671">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4E57DF">
        <w:rPr>
          <w:rFonts w:ascii="Times New Roman" w:eastAsia="Times New Roman" w:hAnsi="Times New Roman" w:cs="Times New Roman"/>
          <w:sz w:val="24"/>
          <w:szCs w:val="24"/>
          <w:shd w:val="clear" w:color="auto" w:fill="FEFEFE"/>
          <w:lang w:eastAsia="bg-BG"/>
        </w:rPr>
        <w:t>2</w:t>
      </w:r>
      <w:r w:rsidR="006618AA">
        <w:rPr>
          <w:rFonts w:ascii="Times New Roman" w:eastAsia="Times New Roman" w:hAnsi="Times New Roman" w:cs="Times New Roman"/>
          <w:sz w:val="24"/>
          <w:szCs w:val="24"/>
          <w:shd w:val="clear" w:color="auto" w:fill="FEFEFE"/>
          <w:lang w:eastAsia="bg-BG"/>
        </w:rPr>
        <w:t>5</w:t>
      </w:r>
      <w:r w:rsidRPr="004E57DF">
        <w:rPr>
          <w:rFonts w:ascii="Times New Roman" w:eastAsia="Times New Roman" w:hAnsi="Times New Roman" w:cs="Times New Roman"/>
          <w:sz w:val="24"/>
          <w:szCs w:val="24"/>
          <w:shd w:val="clear" w:color="auto" w:fill="FEFEFE"/>
          <w:lang w:eastAsia="bg-BG"/>
        </w:rPr>
        <w:t xml:space="preserve">. „Очевидна грешка“ – писмена грешка, </w:t>
      </w:r>
      <w:proofErr w:type="spellStart"/>
      <w:r w:rsidRPr="004E57DF">
        <w:rPr>
          <w:rFonts w:ascii="Times New Roman" w:eastAsia="Times New Roman" w:hAnsi="Times New Roman" w:cs="Times New Roman"/>
          <w:sz w:val="24"/>
          <w:szCs w:val="24"/>
          <w:shd w:val="clear" w:color="auto" w:fill="FEFEFE"/>
          <w:lang w:eastAsia="bg-BG"/>
        </w:rPr>
        <w:t>грешка</w:t>
      </w:r>
      <w:proofErr w:type="spellEnd"/>
      <w:r w:rsidRPr="004E57DF">
        <w:rPr>
          <w:rFonts w:ascii="Times New Roman" w:eastAsia="Times New Roman" w:hAnsi="Times New Roman" w:cs="Times New Roman"/>
          <w:sz w:val="24"/>
          <w:szCs w:val="24"/>
          <w:shd w:val="clear" w:color="auto" w:fill="FEFEFE"/>
          <w:lang w:eastAsia="bg-BG"/>
        </w:rPr>
        <w:t xml:space="preserve"> в пресмятането или други подобни очевидни неточности</w:t>
      </w:r>
      <w:r w:rsidRPr="003D64B5">
        <w:rPr>
          <w:rFonts w:ascii="Times New Roman" w:eastAsia="Times New Roman" w:hAnsi="Times New Roman" w:cs="Times New Roman"/>
          <w:sz w:val="24"/>
          <w:szCs w:val="24"/>
          <w:shd w:val="clear" w:color="auto" w:fill="FEFEFE"/>
          <w:lang w:eastAsia="bg-BG"/>
        </w:rPr>
        <w:t>, която може да бъде непосредствено установена при техническа проверка на информацията, съдържаща се в документите;</w:t>
      </w:r>
    </w:p>
    <w:p w14:paraId="62C99341" w14:textId="4ACE35F7" w:rsidR="001B7C3D" w:rsidRPr="003D64B5" w:rsidRDefault="001B7C3D">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2</w:t>
      </w:r>
      <w:r w:rsidR="006618AA">
        <w:rPr>
          <w:rFonts w:ascii="Times New Roman" w:eastAsia="Times New Roman" w:hAnsi="Times New Roman" w:cs="Times New Roman"/>
          <w:sz w:val="24"/>
          <w:szCs w:val="24"/>
          <w:shd w:val="clear" w:color="auto" w:fill="FEFEFE"/>
          <w:lang w:eastAsia="bg-BG"/>
        </w:rPr>
        <w:t>6</w:t>
      </w:r>
      <w:r>
        <w:rPr>
          <w:rFonts w:ascii="Times New Roman" w:eastAsia="Times New Roman" w:hAnsi="Times New Roman" w:cs="Times New Roman"/>
          <w:sz w:val="24"/>
          <w:szCs w:val="24"/>
          <w:shd w:val="clear" w:color="auto" w:fill="FEFEFE"/>
          <w:lang w:eastAsia="bg-BG"/>
        </w:rPr>
        <w:t xml:space="preserve">. </w:t>
      </w:r>
      <w:r w:rsidR="00C4255D">
        <w:rPr>
          <w:rFonts w:ascii="Times New Roman" w:eastAsia="Times New Roman" w:hAnsi="Times New Roman" w:cs="Times New Roman"/>
          <w:sz w:val="24"/>
          <w:szCs w:val="24"/>
          <w:shd w:val="clear" w:color="auto" w:fill="FEFEFE"/>
          <w:lang w:eastAsia="bg-BG"/>
        </w:rPr>
        <w:t>„</w:t>
      </w:r>
      <w:r>
        <w:rPr>
          <w:rFonts w:ascii="Times New Roman" w:eastAsia="Times New Roman" w:hAnsi="Times New Roman" w:cs="Times New Roman"/>
          <w:sz w:val="24"/>
          <w:szCs w:val="24"/>
          <w:shd w:val="clear" w:color="auto" w:fill="FEFEFE"/>
          <w:lang w:eastAsia="bg-BG"/>
        </w:rPr>
        <w:t>Партньор</w:t>
      </w:r>
      <w:r w:rsidR="00C4255D">
        <w:rPr>
          <w:rFonts w:ascii="Times New Roman" w:eastAsia="Times New Roman" w:hAnsi="Times New Roman" w:cs="Times New Roman"/>
          <w:sz w:val="24"/>
          <w:szCs w:val="24"/>
          <w:shd w:val="clear" w:color="auto" w:fill="FEFEFE"/>
          <w:lang w:eastAsia="bg-BG"/>
        </w:rPr>
        <w:t>“</w:t>
      </w:r>
      <w:r>
        <w:rPr>
          <w:rFonts w:ascii="Times New Roman" w:eastAsia="Times New Roman" w:hAnsi="Times New Roman" w:cs="Times New Roman"/>
          <w:sz w:val="24"/>
          <w:szCs w:val="24"/>
          <w:shd w:val="clear" w:color="auto" w:fill="FEFEFE"/>
          <w:lang w:eastAsia="bg-BG"/>
        </w:rPr>
        <w:t xml:space="preserve"> </w:t>
      </w:r>
      <w:r w:rsidR="00C4255D">
        <w:rPr>
          <w:rFonts w:ascii="Times New Roman" w:eastAsia="Times New Roman" w:hAnsi="Times New Roman" w:cs="Times New Roman"/>
          <w:sz w:val="24"/>
          <w:szCs w:val="24"/>
          <w:shd w:val="clear" w:color="auto" w:fill="FEFEFE"/>
          <w:lang w:eastAsia="bg-BG"/>
        </w:rPr>
        <w:t>–</w:t>
      </w:r>
      <w:r>
        <w:rPr>
          <w:rFonts w:ascii="Times New Roman" w:eastAsia="Times New Roman" w:hAnsi="Times New Roman" w:cs="Times New Roman"/>
          <w:sz w:val="24"/>
          <w:szCs w:val="24"/>
          <w:shd w:val="clear" w:color="auto" w:fill="FEFEFE"/>
          <w:lang w:eastAsia="bg-BG"/>
        </w:rPr>
        <w:t xml:space="preserve"> </w:t>
      </w:r>
      <w:r w:rsidR="00C4255D">
        <w:rPr>
          <w:rFonts w:ascii="Times New Roman" w:eastAsia="Times New Roman" w:hAnsi="Times New Roman" w:cs="Times New Roman"/>
          <w:sz w:val="24"/>
          <w:szCs w:val="24"/>
          <w:shd w:val="clear" w:color="auto" w:fill="FEFEFE"/>
          <w:lang w:eastAsia="bg-BG"/>
        </w:rPr>
        <w:t>партньор по смисъла на параграф 1, т.</w:t>
      </w:r>
      <w:r w:rsidR="00D91C9A">
        <w:rPr>
          <w:rFonts w:ascii="Times New Roman" w:eastAsia="Times New Roman" w:hAnsi="Times New Roman" w:cs="Times New Roman"/>
          <w:sz w:val="24"/>
          <w:szCs w:val="24"/>
          <w:shd w:val="clear" w:color="auto" w:fill="FEFEFE"/>
          <w:lang w:eastAsia="bg-BG"/>
        </w:rPr>
        <w:t xml:space="preserve"> </w:t>
      </w:r>
      <w:r w:rsidR="00C4255D">
        <w:rPr>
          <w:rFonts w:ascii="Times New Roman" w:eastAsia="Times New Roman" w:hAnsi="Times New Roman" w:cs="Times New Roman"/>
          <w:sz w:val="24"/>
          <w:szCs w:val="24"/>
          <w:shd w:val="clear" w:color="auto" w:fill="FEFEFE"/>
          <w:lang w:eastAsia="bg-BG"/>
        </w:rPr>
        <w:t xml:space="preserve">5 от Допълнителните разпоредби на Постановление </w:t>
      </w:r>
      <w:r w:rsidR="00C4255D" w:rsidRPr="00C4255D">
        <w:rPr>
          <w:rFonts w:ascii="Times New Roman" w:eastAsia="Times New Roman" w:hAnsi="Times New Roman" w:cs="Times New Roman"/>
          <w:sz w:val="24"/>
          <w:szCs w:val="24"/>
          <w:shd w:val="clear" w:color="auto" w:fill="FEFEFE"/>
          <w:lang w:eastAsia="bg-BG"/>
        </w:rPr>
        <w:t>№</w:t>
      </w:r>
      <w:r w:rsidR="00C4255D">
        <w:rPr>
          <w:rFonts w:ascii="Times New Roman" w:eastAsia="Times New Roman" w:hAnsi="Times New Roman" w:cs="Times New Roman"/>
          <w:sz w:val="24"/>
          <w:szCs w:val="24"/>
          <w:shd w:val="clear" w:color="auto" w:fill="FEFEFE"/>
          <w:lang w:eastAsia="bg-BG"/>
        </w:rPr>
        <w:t xml:space="preserve"> 23 на Министерския съвет от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2021-2027 г.;</w:t>
      </w:r>
    </w:p>
    <w:p w14:paraId="597DE1DD" w14:textId="388617F6" w:rsidR="00B42671" w:rsidRPr="003D64B5" w:rsidRDefault="00844249">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 xml:space="preserve">27. </w:t>
      </w:r>
      <w:r w:rsidR="00B42671" w:rsidRPr="003D64B5">
        <w:rPr>
          <w:rFonts w:ascii="Times New Roman" w:eastAsia="Times New Roman" w:hAnsi="Times New Roman" w:cs="Times New Roman"/>
          <w:sz w:val="24"/>
          <w:szCs w:val="24"/>
          <w:shd w:val="clear" w:color="auto" w:fill="FEFEFE"/>
          <w:lang w:eastAsia="bg-BG"/>
        </w:rPr>
        <w:t xml:space="preserve">„Получател на финансова помощ“ - бенефициент по смисъла на Закона за управление на средствата от Европейските фондове при споделено управление; </w:t>
      </w:r>
    </w:p>
    <w:p w14:paraId="4D4EC6CF" w14:textId="0B5200D4" w:rsidR="00B42671" w:rsidRPr="003D64B5" w:rsidRDefault="003D64B5">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3D64B5">
        <w:rPr>
          <w:rFonts w:ascii="Times New Roman" w:eastAsia="Times New Roman" w:hAnsi="Times New Roman" w:cs="Times New Roman"/>
          <w:sz w:val="24"/>
          <w:szCs w:val="24"/>
          <w:shd w:val="clear" w:color="auto" w:fill="FEFEFE"/>
          <w:lang w:eastAsia="bg-BG"/>
        </w:rPr>
        <w:t>2</w:t>
      </w:r>
      <w:r w:rsidR="00F3199A">
        <w:rPr>
          <w:rFonts w:ascii="Times New Roman" w:eastAsia="Times New Roman" w:hAnsi="Times New Roman" w:cs="Times New Roman"/>
          <w:sz w:val="24"/>
          <w:szCs w:val="24"/>
          <w:shd w:val="clear" w:color="auto" w:fill="FEFEFE"/>
          <w:lang w:eastAsia="bg-BG"/>
        </w:rPr>
        <w:t>8</w:t>
      </w:r>
      <w:r w:rsidR="00B42671" w:rsidRPr="003D64B5">
        <w:rPr>
          <w:rFonts w:ascii="Times New Roman" w:eastAsia="Times New Roman" w:hAnsi="Times New Roman" w:cs="Times New Roman"/>
          <w:sz w:val="24"/>
          <w:szCs w:val="24"/>
          <w:shd w:val="clear" w:color="auto" w:fill="FEFEFE"/>
          <w:lang w:eastAsia="bg-BG"/>
        </w:rPr>
        <w:t>. „Представ</w:t>
      </w:r>
      <w:r w:rsidR="00AE7E8A" w:rsidRPr="003D64B5">
        <w:rPr>
          <w:rFonts w:ascii="Times New Roman" w:eastAsia="Times New Roman" w:hAnsi="Times New Roman" w:cs="Times New Roman"/>
          <w:sz w:val="24"/>
          <w:szCs w:val="24"/>
          <w:shd w:val="clear" w:color="auto" w:fill="FEFEFE"/>
          <w:lang w:eastAsia="bg-BG"/>
        </w:rPr>
        <w:t>ител на нестопанския сектор“ - л</w:t>
      </w:r>
      <w:r w:rsidR="00B42671" w:rsidRPr="003D64B5">
        <w:rPr>
          <w:rFonts w:ascii="Times New Roman" w:eastAsia="Times New Roman" w:hAnsi="Times New Roman" w:cs="Times New Roman"/>
          <w:sz w:val="24"/>
          <w:szCs w:val="24"/>
          <w:shd w:val="clear" w:color="auto" w:fill="FEFEFE"/>
          <w:lang w:eastAsia="bg-BG"/>
        </w:rPr>
        <w:t xml:space="preserve">ице, регистрирано по Закона за юридическите лица с нестопанска цел или по Закона за народните читалища, както и физическо лице, самоопределящо се като представител на този сектор. Физическото лице декларира писмено принадлежността си към този сектор. Общински съветник, кмет, заместник-кмет или служител в община, кметство или район, самоопределил се като представител на нестопанския сектор или представляващ друг представител на нестопанския сектор, не може да бъде член на колективния управителен орган на МИГ. Юридическо лице, в управителните органи на което член е кмет, заместник-кмет, общински съветник или служител </w:t>
      </w:r>
      <w:r w:rsidR="00B42671" w:rsidRPr="003D64B5">
        <w:rPr>
          <w:rFonts w:ascii="Times New Roman" w:eastAsia="Times New Roman" w:hAnsi="Times New Roman" w:cs="Times New Roman"/>
          <w:sz w:val="24"/>
          <w:szCs w:val="24"/>
          <w:shd w:val="clear" w:color="auto" w:fill="FEFEFE"/>
          <w:lang w:eastAsia="bg-BG"/>
        </w:rPr>
        <w:lastRenderedPageBreak/>
        <w:t>на МИГ, не може да бъде член на колективния управителен орган на МИГ от квотата на нестопанския сектор;</w:t>
      </w:r>
    </w:p>
    <w:p w14:paraId="622DBFC6" w14:textId="63F66AED" w:rsidR="00B42671" w:rsidRPr="003D64B5" w:rsidRDefault="00F3199A">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29</w:t>
      </w:r>
      <w:r w:rsidR="00B42671" w:rsidRPr="003D64B5">
        <w:rPr>
          <w:rFonts w:ascii="Times New Roman" w:eastAsia="Times New Roman" w:hAnsi="Times New Roman" w:cs="Times New Roman"/>
          <w:sz w:val="24"/>
          <w:szCs w:val="24"/>
          <w:shd w:val="clear" w:color="auto" w:fill="FEFEFE"/>
          <w:lang w:eastAsia="bg-BG"/>
        </w:rPr>
        <w:t xml:space="preserve">. „Представител на публичния сектор“ - </w:t>
      </w:r>
      <w:r w:rsidR="00D11576">
        <w:rPr>
          <w:rFonts w:ascii="Times New Roman" w:eastAsia="Times New Roman" w:hAnsi="Times New Roman" w:cs="Times New Roman"/>
          <w:sz w:val="24"/>
          <w:szCs w:val="24"/>
          <w:shd w:val="clear" w:color="auto" w:fill="FEFEFE"/>
          <w:lang w:eastAsia="bg-BG"/>
        </w:rPr>
        <w:t>ю</w:t>
      </w:r>
      <w:r w:rsidR="00B42671" w:rsidRPr="003D64B5">
        <w:rPr>
          <w:rFonts w:ascii="Times New Roman" w:eastAsia="Times New Roman" w:hAnsi="Times New Roman" w:cs="Times New Roman"/>
          <w:sz w:val="24"/>
          <w:szCs w:val="24"/>
          <w:shd w:val="clear" w:color="auto" w:fill="FEFEFE"/>
          <w:lang w:eastAsia="bg-BG"/>
        </w:rPr>
        <w:t>ридическо лице, което се представлява от орган на изпълнителната власт по чл. 19, ал. 2, 3 и 4 от Закона за администрацията или от служител на централната или териториалната администрация на изпълнителната власт, на общината, на общинския съвет, кмет и заместник-кмет на община, кметство или район, кметски наместник, общински съветник и областен управител, който представлява съответния орган въз основа на писмено решение, представено на МИГ, както и публично лице, което получава финансиране от държавния или общинския бюджет;</w:t>
      </w:r>
    </w:p>
    <w:p w14:paraId="10230133" w14:textId="7F7102DA" w:rsidR="00B42671" w:rsidRPr="00D11576" w:rsidRDefault="006618AA">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3</w:t>
      </w:r>
      <w:r w:rsidR="00F3199A">
        <w:rPr>
          <w:rFonts w:ascii="Times New Roman" w:eastAsia="Times New Roman" w:hAnsi="Times New Roman" w:cs="Times New Roman"/>
          <w:sz w:val="24"/>
          <w:szCs w:val="24"/>
          <w:shd w:val="clear" w:color="auto" w:fill="FEFEFE"/>
          <w:lang w:eastAsia="bg-BG"/>
        </w:rPr>
        <w:t>0</w:t>
      </w:r>
      <w:r w:rsidR="00B42671" w:rsidRPr="003D64B5">
        <w:rPr>
          <w:rFonts w:ascii="Times New Roman" w:eastAsia="Times New Roman" w:hAnsi="Times New Roman" w:cs="Times New Roman"/>
          <w:sz w:val="24"/>
          <w:szCs w:val="24"/>
          <w:shd w:val="clear" w:color="auto" w:fill="FEFEFE"/>
          <w:lang w:eastAsia="bg-BG"/>
        </w:rPr>
        <w:t xml:space="preserve">. „Представител на стопанския сектор“ - </w:t>
      </w:r>
      <w:r w:rsidR="00D11576">
        <w:rPr>
          <w:rFonts w:ascii="Times New Roman" w:eastAsia="Times New Roman" w:hAnsi="Times New Roman" w:cs="Times New Roman"/>
          <w:sz w:val="24"/>
          <w:szCs w:val="24"/>
          <w:shd w:val="clear" w:color="auto" w:fill="FEFEFE"/>
          <w:lang w:eastAsia="bg-BG"/>
        </w:rPr>
        <w:t>л</w:t>
      </w:r>
      <w:r w:rsidR="00B42671" w:rsidRPr="003D64B5">
        <w:rPr>
          <w:rFonts w:ascii="Times New Roman" w:eastAsia="Times New Roman" w:hAnsi="Times New Roman" w:cs="Times New Roman"/>
          <w:sz w:val="24"/>
          <w:szCs w:val="24"/>
          <w:shd w:val="clear" w:color="auto" w:fill="FEFEFE"/>
          <w:lang w:eastAsia="bg-BG"/>
        </w:rPr>
        <w:t xml:space="preserve">ице, регистрирано да извършва дейност по Търговския закон или по Закона за кооперациите, организация, обединяваща и защитаваща техни интереси, както и физическо лице, осъществяващо стопанска дейност по смисъла на § 1, т. 3 от </w:t>
      </w:r>
      <w:r w:rsidR="00B42671" w:rsidRPr="00D11576">
        <w:rPr>
          <w:rFonts w:ascii="Times New Roman" w:eastAsia="Times New Roman" w:hAnsi="Times New Roman" w:cs="Times New Roman"/>
          <w:sz w:val="24"/>
          <w:szCs w:val="24"/>
          <w:shd w:val="clear" w:color="auto" w:fill="FEFEFE"/>
          <w:lang w:eastAsia="bg-BG"/>
        </w:rPr>
        <w:t>допълнителната разпоредба на Закона за ограничаване на административното регулиране и административния контрол върху стопанската дейност. По смисъла на тази разпоредба кмет, заместник-кмет или общински съветник, както и юридическо лице, собственост или управлявано от кмет, заместник-кмет или общински съветник или на служител на МИГ няма право да бъде член на колективния управителен орган на МИГ от квотата на стопанския сектор;</w:t>
      </w:r>
    </w:p>
    <w:p w14:paraId="29F1B514" w14:textId="2D874F98" w:rsidR="00B42671" w:rsidRPr="00D11576" w:rsidRDefault="00276BA2">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3</w:t>
      </w:r>
      <w:r w:rsidR="00F3199A">
        <w:rPr>
          <w:rFonts w:ascii="Times New Roman" w:eastAsia="Times New Roman" w:hAnsi="Times New Roman" w:cs="Times New Roman"/>
          <w:sz w:val="24"/>
          <w:szCs w:val="24"/>
          <w:shd w:val="clear" w:color="auto" w:fill="FEFEFE"/>
          <w:lang w:eastAsia="bg-BG"/>
        </w:rPr>
        <w:t>1</w:t>
      </w:r>
      <w:r w:rsidR="00B42671" w:rsidRPr="00D11576">
        <w:rPr>
          <w:rFonts w:ascii="Times New Roman" w:eastAsia="Times New Roman" w:hAnsi="Times New Roman" w:cs="Times New Roman"/>
          <w:sz w:val="24"/>
          <w:szCs w:val="24"/>
          <w:shd w:val="clear" w:color="auto" w:fill="FEFEFE"/>
          <w:lang w:eastAsia="bg-BG"/>
        </w:rPr>
        <w:t xml:space="preserve">. „Принос от програма“ - </w:t>
      </w:r>
      <w:r w:rsidR="00D11576">
        <w:rPr>
          <w:rFonts w:ascii="Times New Roman" w:eastAsia="Times New Roman" w:hAnsi="Times New Roman" w:cs="Times New Roman"/>
          <w:sz w:val="24"/>
          <w:szCs w:val="24"/>
          <w:shd w:val="clear" w:color="auto" w:fill="FEFEFE"/>
          <w:lang w:eastAsia="bg-BG"/>
        </w:rPr>
        <w:t>п</w:t>
      </w:r>
      <w:r w:rsidR="00B42671" w:rsidRPr="00D11576">
        <w:rPr>
          <w:rFonts w:ascii="Times New Roman" w:eastAsia="Times New Roman" w:hAnsi="Times New Roman" w:cs="Times New Roman"/>
          <w:sz w:val="24"/>
          <w:szCs w:val="24"/>
          <w:shd w:val="clear" w:color="auto" w:fill="FEFEFE"/>
          <w:lang w:eastAsia="bg-BG"/>
        </w:rPr>
        <w:t xml:space="preserve">одкрепата от фондовете и националното публично и частно, ако има такова, съфинансиране за финансов инструмент; </w:t>
      </w:r>
    </w:p>
    <w:p w14:paraId="38BC98E8" w14:textId="3B05515C" w:rsidR="00B42671" w:rsidRPr="00D11576" w:rsidRDefault="00573A54">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3</w:t>
      </w:r>
      <w:r w:rsidR="00F3199A">
        <w:rPr>
          <w:rFonts w:ascii="Times New Roman" w:eastAsia="Times New Roman" w:hAnsi="Times New Roman" w:cs="Times New Roman"/>
          <w:sz w:val="24"/>
          <w:szCs w:val="24"/>
          <w:shd w:val="clear" w:color="auto" w:fill="FEFEFE"/>
          <w:lang w:eastAsia="bg-BG"/>
        </w:rPr>
        <w:t>2</w:t>
      </w:r>
      <w:r w:rsidR="00B42671" w:rsidRPr="00D11576">
        <w:rPr>
          <w:rFonts w:ascii="Times New Roman" w:eastAsia="Times New Roman" w:hAnsi="Times New Roman" w:cs="Times New Roman"/>
          <w:sz w:val="24"/>
          <w:szCs w:val="24"/>
          <w:shd w:val="clear" w:color="auto" w:fill="FEFEFE"/>
          <w:lang w:eastAsia="bg-BG"/>
        </w:rPr>
        <w:t>. „Про</w:t>
      </w:r>
      <w:r w:rsidR="00D11576" w:rsidRPr="00D11576">
        <w:rPr>
          <w:rFonts w:ascii="Times New Roman" w:eastAsia="Times New Roman" w:hAnsi="Times New Roman" w:cs="Times New Roman"/>
          <w:sz w:val="24"/>
          <w:szCs w:val="24"/>
          <w:shd w:val="clear" w:color="auto" w:fill="FEFEFE"/>
          <w:lang w:eastAsia="bg-BG"/>
        </w:rPr>
        <w:t>ект към стратегията за ВОМР“ - о</w:t>
      </w:r>
      <w:r w:rsidR="00B42671" w:rsidRPr="00D11576">
        <w:rPr>
          <w:rFonts w:ascii="Times New Roman" w:eastAsia="Times New Roman" w:hAnsi="Times New Roman" w:cs="Times New Roman"/>
          <w:sz w:val="24"/>
          <w:szCs w:val="24"/>
          <w:shd w:val="clear" w:color="auto" w:fill="FEFEFE"/>
          <w:lang w:eastAsia="bg-BG"/>
        </w:rPr>
        <w:t>перация или част от операция, за която се сключва индивидуален административен договор за изпълнение на дейности по мерки от стратегията за ВОМР;</w:t>
      </w:r>
    </w:p>
    <w:p w14:paraId="3642D18D" w14:textId="560F19C7" w:rsidR="00B42671" w:rsidRPr="00695B39" w:rsidRDefault="00EF0675">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3</w:t>
      </w:r>
      <w:r w:rsidR="00F3199A">
        <w:rPr>
          <w:rFonts w:ascii="Times New Roman" w:eastAsia="Times New Roman" w:hAnsi="Times New Roman" w:cs="Times New Roman"/>
          <w:sz w:val="24"/>
          <w:szCs w:val="24"/>
          <w:shd w:val="clear" w:color="auto" w:fill="FEFEFE"/>
          <w:lang w:eastAsia="bg-BG"/>
        </w:rPr>
        <w:t>3</w:t>
      </w:r>
      <w:r w:rsidR="00B42671" w:rsidRPr="00695B39">
        <w:rPr>
          <w:rFonts w:ascii="Times New Roman" w:eastAsia="Times New Roman" w:hAnsi="Times New Roman" w:cs="Times New Roman"/>
          <w:sz w:val="24"/>
          <w:szCs w:val="24"/>
          <w:shd w:val="clear" w:color="auto" w:fill="FEFEFE"/>
          <w:lang w:eastAsia="bg-BG"/>
        </w:rPr>
        <w:t xml:space="preserve">. „Публичен принос“ - </w:t>
      </w:r>
      <w:r w:rsidR="00D11576" w:rsidRPr="00695B39">
        <w:rPr>
          <w:rFonts w:ascii="Times New Roman" w:eastAsia="Times New Roman" w:hAnsi="Times New Roman" w:cs="Times New Roman"/>
          <w:sz w:val="24"/>
          <w:szCs w:val="24"/>
          <w:shd w:val="clear" w:color="auto" w:fill="FEFEFE"/>
          <w:lang w:eastAsia="bg-BG"/>
        </w:rPr>
        <w:t>в</w:t>
      </w:r>
      <w:r w:rsidR="00B42671" w:rsidRPr="00695B39">
        <w:rPr>
          <w:rFonts w:ascii="Times New Roman" w:eastAsia="Times New Roman" w:hAnsi="Times New Roman" w:cs="Times New Roman"/>
          <w:sz w:val="24"/>
          <w:szCs w:val="24"/>
          <w:shd w:val="clear" w:color="auto" w:fill="FEFEFE"/>
          <w:lang w:eastAsia="bg-BG"/>
        </w:rPr>
        <w:t xml:space="preserve">секи принос за финансирането на операции, чийто източник е бюджетът на национален, регионален или местен публичен орган, предоставеният на фондовете бюджет на Съюза, бюджетът на </w:t>
      </w:r>
      <w:proofErr w:type="spellStart"/>
      <w:r w:rsidR="00B42671" w:rsidRPr="00695B39">
        <w:rPr>
          <w:rFonts w:ascii="Times New Roman" w:eastAsia="Times New Roman" w:hAnsi="Times New Roman" w:cs="Times New Roman"/>
          <w:sz w:val="24"/>
          <w:szCs w:val="24"/>
          <w:shd w:val="clear" w:color="auto" w:fill="FEFEFE"/>
          <w:lang w:eastAsia="bg-BG"/>
        </w:rPr>
        <w:t>публичноправните</w:t>
      </w:r>
      <w:proofErr w:type="spellEnd"/>
      <w:r w:rsidR="00B42671" w:rsidRPr="00695B39">
        <w:rPr>
          <w:rFonts w:ascii="Times New Roman" w:eastAsia="Times New Roman" w:hAnsi="Times New Roman" w:cs="Times New Roman"/>
          <w:sz w:val="24"/>
          <w:szCs w:val="24"/>
          <w:shd w:val="clear" w:color="auto" w:fill="FEFEFE"/>
          <w:lang w:eastAsia="bg-BG"/>
        </w:rPr>
        <w:t xml:space="preserve"> субекти или бюджетът на сдружения на публични органи или </w:t>
      </w:r>
      <w:proofErr w:type="spellStart"/>
      <w:r w:rsidR="00B42671" w:rsidRPr="00695B39">
        <w:rPr>
          <w:rFonts w:ascii="Times New Roman" w:eastAsia="Times New Roman" w:hAnsi="Times New Roman" w:cs="Times New Roman"/>
          <w:sz w:val="24"/>
          <w:szCs w:val="24"/>
          <w:shd w:val="clear" w:color="auto" w:fill="FEFEFE"/>
          <w:lang w:eastAsia="bg-BG"/>
        </w:rPr>
        <w:t>публичноправни</w:t>
      </w:r>
      <w:proofErr w:type="spellEnd"/>
      <w:r w:rsidR="00B42671" w:rsidRPr="00695B39">
        <w:rPr>
          <w:rFonts w:ascii="Times New Roman" w:eastAsia="Times New Roman" w:hAnsi="Times New Roman" w:cs="Times New Roman"/>
          <w:sz w:val="24"/>
          <w:szCs w:val="24"/>
          <w:shd w:val="clear" w:color="auto" w:fill="FEFEFE"/>
          <w:lang w:eastAsia="bg-BG"/>
        </w:rPr>
        <w:t xml:space="preserve"> субекти;</w:t>
      </w:r>
    </w:p>
    <w:p w14:paraId="3C6DDCD3" w14:textId="1C5CBB97" w:rsidR="00B42671" w:rsidRPr="00695B39" w:rsidRDefault="00B42671">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695B39">
        <w:rPr>
          <w:rFonts w:ascii="Times New Roman" w:eastAsia="Times New Roman" w:hAnsi="Times New Roman" w:cs="Times New Roman"/>
          <w:sz w:val="24"/>
          <w:szCs w:val="24"/>
          <w:shd w:val="clear" w:color="auto" w:fill="FEFEFE"/>
          <w:lang w:eastAsia="bg-BG"/>
        </w:rPr>
        <w:t>3</w:t>
      </w:r>
      <w:r w:rsidR="00F3199A">
        <w:rPr>
          <w:rFonts w:ascii="Times New Roman" w:eastAsia="Times New Roman" w:hAnsi="Times New Roman" w:cs="Times New Roman"/>
          <w:sz w:val="24"/>
          <w:szCs w:val="24"/>
          <w:shd w:val="clear" w:color="auto" w:fill="FEFEFE"/>
          <w:lang w:eastAsia="bg-BG"/>
        </w:rPr>
        <w:t>4</w:t>
      </w:r>
      <w:r w:rsidR="00DA2BDE" w:rsidRPr="00695B39">
        <w:rPr>
          <w:rFonts w:ascii="Times New Roman" w:eastAsia="Times New Roman" w:hAnsi="Times New Roman" w:cs="Times New Roman"/>
          <w:sz w:val="24"/>
          <w:szCs w:val="24"/>
          <w:shd w:val="clear" w:color="auto" w:fill="FEFEFE"/>
          <w:lang w:eastAsia="bg-BG"/>
        </w:rPr>
        <w:t>. „Публично лице“ - п</w:t>
      </w:r>
      <w:r w:rsidRPr="00695B39">
        <w:rPr>
          <w:rFonts w:ascii="Times New Roman" w:eastAsia="Times New Roman" w:hAnsi="Times New Roman" w:cs="Times New Roman"/>
          <w:sz w:val="24"/>
          <w:szCs w:val="24"/>
          <w:shd w:val="clear" w:color="auto" w:fill="FEFEFE"/>
          <w:lang w:eastAsia="bg-BG"/>
        </w:rPr>
        <w:t>убличноправна организация съгласно § 2, т. 43 от допълнителните разпоредби на Закона за обществените поръчки;</w:t>
      </w:r>
    </w:p>
    <w:p w14:paraId="5DBD52E2" w14:textId="2C955098" w:rsidR="00B42671" w:rsidRPr="00877400" w:rsidRDefault="00B42671">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695B39">
        <w:rPr>
          <w:rFonts w:ascii="Times New Roman" w:eastAsia="Times New Roman" w:hAnsi="Times New Roman" w:cs="Times New Roman"/>
          <w:sz w:val="24"/>
          <w:szCs w:val="24"/>
          <w:shd w:val="clear" w:color="auto" w:fill="FEFEFE"/>
          <w:lang w:eastAsia="bg-BG"/>
        </w:rPr>
        <w:t>3</w:t>
      </w:r>
      <w:r w:rsidR="00F3199A">
        <w:rPr>
          <w:rFonts w:ascii="Times New Roman" w:eastAsia="Times New Roman" w:hAnsi="Times New Roman" w:cs="Times New Roman"/>
          <w:sz w:val="24"/>
          <w:szCs w:val="24"/>
          <w:shd w:val="clear" w:color="auto" w:fill="FEFEFE"/>
          <w:lang w:eastAsia="bg-BG"/>
        </w:rPr>
        <w:t>5</w:t>
      </w:r>
      <w:r w:rsidRPr="00695B39">
        <w:rPr>
          <w:rFonts w:ascii="Times New Roman" w:eastAsia="Times New Roman" w:hAnsi="Times New Roman" w:cs="Times New Roman"/>
          <w:sz w:val="24"/>
          <w:szCs w:val="24"/>
          <w:shd w:val="clear" w:color="auto" w:fill="FEFEFE"/>
          <w:lang w:eastAsia="bg-BG"/>
        </w:rPr>
        <w:t xml:space="preserve">. „Публично-частно партньорство“ – партньорството между представители на публичния сектор, </w:t>
      </w:r>
      <w:r w:rsidRPr="00877400">
        <w:rPr>
          <w:rFonts w:ascii="Times New Roman" w:eastAsia="Times New Roman" w:hAnsi="Times New Roman" w:cs="Times New Roman"/>
          <w:sz w:val="24"/>
          <w:szCs w:val="24"/>
          <w:shd w:val="clear" w:color="auto" w:fill="FEFEFE"/>
          <w:lang w:eastAsia="bg-BG"/>
        </w:rPr>
        <w:t>представители на стопанския сектор и представители на нестопанския сектор за реализиране на стратегия за ВОМР на определена територия;</w:t>
      </w:r>
    </w:p>
    <w:p w14:paraId="432185D6" w14:textId="7741AEA8" w:rsidR="00B42671" w:rsidRPr="00877400" w:rsidRDefault="00877400">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877400">
        <w:rPr>
          <w:rFonts w:ascii="Times New Roman" w:eastAsia="Times New Roman" w:hAnsi="Times New Roman" w:cs="Times New Roman"/>
          <w:sz w:val="24"/>
          <w:szCs w:val="24"/>
          <w:shd w:val="clear" w:color="auto" w:fill="FEFEFE"/>
          <w:lang w:eastAsia="bg-BG"/>
        </w:rPr>
        <w:t>3</w:t>
      </w:r>
      <w:r w:rsidR="00F3199A">
        <w:rPr>
          <w:rFonts w:ascii="Times New Roman" w:eastAsia="Times New Roman" w:hAnsi="Times New Roman" w:cs="Times New Roman"/>
          <w:sz w:val="24"/>
          <w:szCs w:val="24"/>
          <w:shd w:val="clear" w:color="auto" w:fill="FEFEFE"/>
          <w:lang w:eastAsia="bg-BG"/>
        </w:rPr>
        <w:t>6</w:t>
      </w:r>
      <w:r w:rsidR="00B42671" w:rsidRPr="00877400">
        <w:rPr>
          <w:rFonts w:ascii="Times New Roman" w:eastAsia="Times New Roman" w:hAnsi="Times New Roman" w:cs="Times New Roman"/>
          <w:sz w:val="24"/>
          <w:szCs w:val="24"/>
          <w:shd w:val="clear" w:color="auto" w:fill="FEFEFE"/>
          <w:lang w:eastAsia="bg-BG"/>
        </w:rPr>
        <w:t xml:space="preserve">. „Работят на територията“ – </w:t>
      </w:r>
      <w:proofErr w:type="spellStart"/>
      <w:r w:rsidR="00B42671" w:rsidRPr="00877400">
        <w:rPr>
          <w:rFonts w:ascii="Times New Roman" w:eastAsia="Times New Roman" w:hAnsi="Times New Roman" w:cs="Times New Roman"/>
          <w:sz w:val="24"/>
          <w:szCs w:val="24"/>
          <w:shd w:val="clear" w:color="auto" w:fill="FEFEFE"/>
          <w:lang w:eastAsia="bg-BG"/>
        </w:rPr>
        <w:t>самоосигуряващи</w:t>
      </w:r>
      <w:proofErr w:type="spellEnd"/>
      <w:r w:rsidR="00B42671" w:rsidRPr="00877400">
        <w:rPr>
          <w:rFonts w:ascii="Times New Roman" w:eastAsia="Times New Roman" w:hAnsi="Times New Roman" w:cs="Times New Roman"/>
          <w:sz w:val="24"/>
          <w:szCs w:val="24"/>
          <w:shd w:val="clear" w:color="auto" w:fill="FEFEFE"/>
          <w:lang w:eastAsia="bg-BG"/>
        </w:rPr>
        <w:t xml:space="preserve"> се лица, </w:t>
      </w:r>
      <w:proofErr w:type="spellStart"/>
      <w:r w:rsidR="00B42671" w:rsidRPr="00877400">
        <w:rPr>
          <w:rFonts w:ascii="Times New Roman" w:eastAsia="Times New Roman" w:hAnsi="Times New Roman" w:cs="Times New Roman"/>
          <w:sz w:val="24"/>
          <w:szCs w:val="24"/>
          <w:shd w:val="clear" w:color="auto" w:fill="FEFEFE"/>
          <w:lang w:eastAsia="bg-BG"/>
        </w:rPr>
        <w:t>лица</w:t>
      </w:r>
      <w:proofErr w:type="spellEnd"/>
      <w:r w:rsidR="00B42671" w:rsidRPr="00877400">
        <w:rPr>
          <w:rFonts w:ascii="Times New Roman" w:eastAsia="Times New Roman" w:hAnsi="Times New Roman" w:cs="Times New Roman"/>
          <w:sz w:val="24"/>
          <w:szCs w:val="24"/>
          <w:shd w:val="clear" w:color="auto" w:fill="FEFEFE"/>
          <w:lang w:eastAsia="bg-BG"/>
        </w:rPr>
        <w:t xml:space="preserve">, които са наети на трудов договор, </w:t>
      </w:r>
      <w:proofErr w:type="spellStart"/>
      <w:r w:rsidR="00B42671" w:rsidRPr="00877400">
        <w:rPr>
          <w:rFonts w:ascii="Times New Roman" w:eastAsia="Times New Roman" w:hAnsi="Times New Roman" w:cs="Times New Roman"/>
          <w:sz w:val="24"/>
          <w:szCs w:val="24"/>
          <w:shd w:val="clear" w:color="auto" w:fill="FEFEFE"/>
          <w:lang w:eastAsia="bg-BG"/>
        </w:rPr>
        <w:t>договор</w:t>
      </w:r>
      <w:proofErr w:type="spellEnd"/>
      <w:r w:rsidR="00B42671" w:rsidRPr="00877400">
        <w:rPr>
          <w:rFonts w:ascii="Times New Roman" w:eastAsia="Times New Roman" w:hAnsi="Times New Roman" w:cs="Times New Roman"/>
          <w:sz w:val="24"/>
          <w:szCs w:val="24"/>
          <w:shd w:val="clear" w:color="auto" w:fill="FEFEFE"/>
          <w:lang w:eastAsia="bg-BG"/>
        </w:rPr>
        <w:t xml:space="preserve"> за управление, или лица на изборни длъжности, които осъществяват дейността си на територията на МИГ; </w:t>
      </w:r>
    </w:p>
    <w:p w14:paraId="562F0269" w14:textId="2DD66243" w:rsidR="00B42671" w:rsidRPr="00877400" w:rsidRDefault="00B42671">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877400">
        <w:rPr>
          <w:rFonts w:ascii="Times New Roman" w:eastAsia="Times New Roman" w:hAnsi="Times New Roman" w:cs="Times New Roman"/>
          <w:sz w:val="24"/>
          <w:szCs w:val="24"/>
          <w:shd w:val="clear" w:color="auto" w:fill="FEFEFE"/>
          <w:lang w:eastAsia="bg-BG"/>
        </w:rPr>
        <w:t>3</w:t>
      </w:r>
      <w:r w:rsidR="00F3199A">
        <w:rPr>
          <w:rFonts w:ascii="Times New Roman" w:eastAsia="Times New Roman" w:hAnsi="Times New Roman" w:cs="Times New Roman"/>
          <w:sz w:val="24"/>
          <w:szCs w:val="24"/>
          <w:shd w:val="clear" w:color="auto" w:fill="FEFEFE"/>
          <w:lang w:eastAsia="bg-BG"/>
        </w:rPr>
        <w:t>7</w:t>
      </w:r>
      <w:r w:rsidRPr="00877400">
        <w:rPr>
          <w:rFonts w:ascii="Times New Roman" w:eastAsia="Times New Roman" w:hAnsi="Times New Roman" w:cs="Times New Roman"/>
          <w:sz w:val="24"/>
          <w:szCs w:val="24"/>
          <w:shd w:val="clear" w:color="auto" w:fill="FEFEFE"/>
          <w:lang w:eastAsia="bg-BG"/>
        </w:rPr>
        <w:t xml:space="preserve">. „Самостоятелен офис“ - </w:t>
      </w:r>
      <w:r w:rsidR="00877400" w:rsidRPr="00877400">
        <w:rPr>
          <w:rFonts w:ascii="Times New Roman" w:eastAsia="Times New Roman" w:hAnsi="Times New Roman" w:cs="Times New Roman"/>
          <w:sz w:val="24"/>
          <w:szCs w:val="24"/>
          <w:shd w:val="clear" w:color="auto" w:fill="FEFEFE"/>
          <w:lang w:eastAsia="bg-BG"/>
        </w:rPr>
        <w:t>п</w:t>
      </w:r>
      <w:r w:rsidRPr="00877400">
        <w:rPr>
          <w:rFonts w:ascii="Times New Roman" w:eastAsia="Times New Roman" w:hAnsi="Times New Roman" w:cs="Times New Roman"/>
          <w:sz w:val="24"/>
          <w:szCs w:val="24"/>
          <w:shd w:val="clear" w:color="auto" w:fill="FEFEFE"/>
          <w:lang w:eastAsia="bg-BG"/>
        </w:rPr>
        <w:t>омещение/я в сграда, което/</w:t>
      </w:r>
      <w:proofErr w:type="spellStart"/>
      <w:r w:rsidRPr="00877400">
        <w:rPr>
          <w:rFonts w:ascii="Times New Roman" w:eastAsia="Times New Roman" w:hAnsi="Times New Roman" w:cs="Times New Roman"/>
          <w:sz w:val="24"/>
          <w:szCs w:val="24"/>
          <w:shd w:val="clear" w:color="auto" w:fill="FEFEFE"/>
          <w:lang w:eastAsia="bg-BG"/>
        </w:rPr>
        <w:t>ито</w:t>
      </w:r>
      <w:proofErr w:type="spellEnd"/>
      <w:r w:rsidRPr="00877400">
        <w:rPr>
          <w:rFonts w:ascii="Times New Roman" w:eastAsia="Times New Roman" w:hAnsi="Times New Roman" w:cs="Times New Roman"/>
          <w:sz w:val="24"/>
          <w:szCs w:val="24"/>
          <w:shd w:val="clear" w:color="auto" w:fill="FEFEFE"/>
          <w:lang w:eastAsia="bg-BG"/>
        </w:rPr>
        <w:t xml:space="preserve"> се използва/т само от МИГ;</w:t>
      </w:r>
    </w:p>
    <w:p w14:paraId="6F1E34E6" w14:textId="1484684E" w:rsidR="00C86E85" w:rsidRPr="002737D6" w:rsidRDefault="00B42671">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877400">
        <w:rPr>
          <w:rFonts w:ascii="Times New Roman" w:eastAsia="Times New Roman" w:hAnsi="Times New Roman" w:cs="Times New Roman"/>
          <w:sz w:val="24"/>
          <w:szCs w:val="24"/>
          <w:shd w:val="clear" w:color="auto" w:fill="FEFEFE"/>
          <w:lang w:eastAsia="bg-BG"/>
        </w:rPr>
        <w:t>3</w:t>
      </w:r>
      <w:r w:rsidR="00F3199A">
        <w:rPr>
          <w:rFonts w:ascii="Times New Roman" w:eastAsia="Times New Roman" w:hAnsi="Times New Roman" w:cs="Times New Roman"/>
          <w:sz w:val="24"/>
          <w:szCs w:val="24"/>
          <w:shd w:val="clear" w:color="auto" w:fill="FEFEFE"/>
          <w:lang w:eastAsia="bg-BG"/>
        </w:rPr>
        <w:t>8</w:t>
      </w:r>
      <w:r w:rsidRPr="00877400">
        <w:rPr>
          <w:rFonts w:ascii="Times New Roman" w:eastAsia="Times New Roman" w:hAnsi="Times New Roman" w:cs="Times New Roman"/>
          <w:sz w:val="24"/>
          <w:szCs w:val="24"/>
          <w:shd w:val="clear" w:color="auto" w:fill="FEFEFE"/>
          <w:lang w:eastAsia="bg-BG"/>
        </w:rPr>
        <w:t>.</w:t>
      </w:r>
      <w:r w:rsidR="00C86E85" w:rsidRPr="00877400">
        <w:rPr>
          <w:rFonts w:ascii="Times New Roman" w:eastAsia="Times New Roman" w:hAnsi="Times New Roman" w:cs="Times New Roman"/>
          <w:sz w:val="24"/>
          <w:szCs w:val="24"/>
          <w:shd w:val="clear" w:color="auto" w:fill="FEFEFE"/>
          <w:lang w:eastAsia="bg-BG"/>
        </w:rPr>
        <w:t xml:space="preserve"> „Селски район</w:t>
      </w:r>
      <w:r w:rsidR="002737D6">
        <w:rPr>
          <w:rFonts w:ascii="Times New Roman" w:eastAsia="Times New Roman" w:hAnsi="Times New Roman" w:cs="Times New Roman"/>
          <w:sz w:val="24"/>
          <w:szCs w:val="24"/>
          <w:shd w:val="clear" w:color="auto" w:fill="FEFEFE"/>
          <w:lang w:eastAsia="bg-BG"/>
        </w:rPr>
        <w:t xml:space="preserve"> по подхода ВОМР“ - о</w:t>
      </w:r>
      <w:r w:rsidR="00C86E85" w:rsidRPr="00877400">
        <w:rPr>
          <w:rFonts w:ascii="Times New Roman" w:eastAsia="Times New Roman" w:hAnsi="Times New Roman" w:cs="Times New Roman"/>
          <w:sz w:val="24"/>
          <w:szCs w:val="24"/>
          <w:shd w:val="clear" w:color="auto" w:fill="FEFEFE"/>
          <w:lang w:eastAsia="bg-BG"/>
        </w:rPr>
        <w:t xml:space="preserve">бщина (LAU 1), в която няма населено място с </w:t>
      </w:r>
      <w:r w:rsidR="00C86E85" w:rsidRPr="002737D6">
        <w:rPr>
          <w:rFonts w:ascii="Times New Roman" w:eastAsia="Times New Roman" w:hAnsi="Times New Roman" w:cs="Times New Roman"/>
          <w:sz w:val="24"/>
          <w:szCs w:val="24"/>
          <w:shd w:val="clear" w:color="auto" w:fill="FEFEFE"/>
          <w:lang w:eastAsia="bg-BG"/>
        </w:rPr>
        <w:t>население над 30 000 души;</w:t>
      </w:r>
    </w:p>
    <w:p w14:paraId="647C57ED" w14:textId="0504CCEC" w:rsidR="00B42671" w:rsidRPr="00443731" w:rsidRDefault="00F3199A">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39</w:t>
      </w:r>
      <w:r w:rsidR="002737D6" w:rsidRPr="002737D6">
        <w:rPr>
          <w:rFonts w:ascii="Times New Roman" w:eastAsia="Times New Roman" w:hAnsi="Times New Roman" w:cs="Times New Roman"/>
          <w:sz w:val="24"/>
          <w:szCs w:val="24"/>
          <w:shd w:val="clear" w:color="auto" w:fill="FEFEFE"/>
          <w:lang w:eastAsia="bg-BG"/>
        </w:rPr>
        <w:t>.</w:t>
      </w:r>
      <w:r w:rsidR="00B42671" w:rsidRPr="002737D6">
        <w:rPr>
          <w:rFonts w:ascii="Times New Roman" w:eastAsia="Times New Roman" w:hAnsi="Times New Roman" w:cs="Times New Roman"/>
          <w:sz w:val="24"/>
          <w:szCs w:val="24"/>
          <w:shd w:val="clear" w:color="auto" w:fill="FEFEFE"/>
          <w:lang w:eastAsia="bg-BG"/>
        </w:rPr>
        <w:t xml:space="preserve"> „Социално земеделие“ - </w:t>
      </w:r>
      <w:r w:rsidR="002737D6" w:rsidRPr="002737D6">
        <w:rPr>
          <w:rFonts w:ascii="Times New Roman" w:eastAsia="Times New Roman" w:hAnsi="Times New Roman" w:cs="Times New Roman"/>
          <w:sz w:val="24"/>
          <w:szCs w:val="24"/>
          <w:shd w:val="clear" w:color="auto" w:fill="FEFEFE"/>
          <w:lang w:eastAsia="bg-BG"/>
        </w:rPr>
        <w:t>в</w:t>
      </w:r>
      <w:r w:rsidR="00B42671" w:rsidRPr="002737D6">
        <w:rPr>
          <w:rFonts w:ascii="Times New Roman" w:eastAsia="Times New Roman" w:hAnsi="Times New Roman" w:cs="Times New Roman"/>
          <w:sz w:val="24"/>
          <w:szCs w:val="24"/>
          <w:shd w:val="clear" w:color="auto" w:fill="FEFEFE"/>
          <w:lang w:eastAsia="bg-BG"/>
        </w:rPr>
        <w:t xml:space="preserve">сички дейности, при които се използват земеделски ресурси за насърчаване или разработване на социални услуги като рехабилитация, терапия, защитена заетост, образование през целия живот и други дейности, които допринасят за социално включване. Социалното земеделие включва следните четири основни видове дейности - рехабилитация и терапия; работно включване и социална интеграция; образование; грижа за хората. Защитена заетост </w:t>
      </w:r>
      <w:r w:rsidR="00001CC6">
        <w:rPr>
          <w:rFonts w:ascii="Times New Roman" w:eastAsia="Times New Roman" w:hAnsi="Times New Roman" w:cs="Times New Roman"/>
          <w:sz w:val="24"/>
          <w:szCs w:val="24"/>
          <w:shd w:val="clear" w:color="auto" w:fill="FEFEFE"/>
          <w:lang w:eastAsia="bg-BG"/>
        </w:rPr>
        <w:t xml:space="preserve">е </w:t>
      </w:r>
      <w:r w:rsidR="00001CC6" w:rsidRPr="00443731">
        <w:rPr>
          <w:rFonts w:ascii="Times New Roman" w:eastAsia="Times New Roman" w:hAnsi="Times New Roman" w:cs="Times New Roman"/>
          <w:sz w:val="24"/>
          <w:szCs w:val="24"/>
          <w:shd w:val="clear" w:color="auto" w:fill="FEFEFE"/>
          <w:lang w:eastAsia="bg-BG"/>
        </w:rPr>
        <w:t xml:space="preserve">заетост в </w:t>
      </w:r>
      <w:r w:rsidR="00B42671" w:rsidRPr="00443731">
        <w:rPr>
          <w:rFonts w:ascii="Times New Roman" w:eastAsia="Times New Roman" w:hAnsi="Times New Roman" w:cs="Times New Roman"/>
          <w:sz w:val="24"/>
          <w:szCs w:val="24"/>
          <w:shd w:val="clear" w:color="auto" w:fill="FEFEFE"/>
          <w:lang w:eastAsia="bg-BG"/>
        </w:rPr>
        <w:t xml:space="preserve">среда, в която хората с увреждания получават услуги и </w:t>
      </w:r>
      <w:r w:rsidR="00B42671" w:rsidRPr="00443731">
        <w:rPr>
          <w:rFonts w:ascii="Times New Roman" w:eastAsia="Times New Roman" w:hAnsi="Times New Roman" w:cs="Times New Roman"/>
          <w:sz w:val="24"/>
          <w:szCs w:val="24"/>
          <w:shd w:val="clear" w:color="auto" w:fill="FEFEFE"/>
          <w:lang w:eastAsia="bg-BG"/>
        </w:rPr>
        <w:lastRenderedPageBreak/>
        <w:t>обучение за развиване на работни умения и поведение</w:t>
      </w:r>
      <w:r w:rsidR="00001CC6" w:rsidRPr="00443731">
        <w:rPr>
          <w:rFonts w:ascii="Times New Roman" w:eastAsia="Times New Roman" w:hAnsi="Times New Roman" w:cs="Times New Roman"/>
          <w:sz w:val="24"/>
          <w:szCs w:val="24"/>
          <w:shd w:val="clear" w:color="auto" w:fill="FEFEFE"/>
          <w:lang w:eastAsia="bg-BG"/>
        </w:rPr>
        <w:t>,</w:t>
      </w:r>
      <w:r w:rsidR="00B42671" w:rsidRPr="00443731">
        <w:rPr>
          <w:rFonts w:ascii="Times New Roman" w:eastAsia="Times New Roman" w:hAnsi="Times New Roman" w:cs="Times New Roman"/>
          <w:sz w:val="24"/>
          <w:szCs w:val="24"/>
          <w:shd w:val="clear" w:color="auto" w:fill="FEFEFE"/>
          <w:lang w:eastAsia="bg-BG"/>
        </w:rPr>
        <w:t xml:space="preserve"> и която</w:t>
      </w:r>
      <w:r w:rsidR="002737D6" w:rsidRPr="00443731">
        <w:rPr>
          <w:rFonts w:ascii="Times New Roman" w:eastAsia="Times New Roman" w:hAnsi="Times New Roman" w:cs="Times New Roman"/>
          <w:sz w:val="24"/>
          <w:szCs w:val="24"/>
          <w:shd w:val="clear" w:color="auto" w:fill="FEFEFE"/>
          <w:lang w:eastAsia="bg-BG"/>
        </w:rPr>
        <w:t xml:space="preserve"> е безопасна и не е конкурентна;</w:t>
      </w:r>
    </w:p>
    <w:p w14:paraId="1145FA83" w14:textId="2436274B" w:rsidR="00B42671" w:rsidRPr="00443731" w:rsidRDefault="006618AA">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4</w:t>
      </w:r>
      <w:r w:rsidR="00F3199A">
        <w:rPr>
          <w:rFonts w:ascii="Times New Roman" w:eastAsia="Times New Roman" w:hAnsi="Times New Roman" w:cs="Times New Roman"/>
          <w:sz w:val="24"/>
          <w:szCs w:val="24"/>
          <w:shd w:val="clear" w:color="auto" w:fill="FEFEFE"/>
          <w:lang w:eastAsia="bg-BG"/>
        </w:rPr>
        <w:t>0</w:t>
      </w:r>
      <w:r w:rsidR="00B42671" w:rsidRPr="00443731">
        <w:rPr>
          <w:rFonts w:ascii="Times New Roman" w:eastAsia="Times New Roman" w:hAnsi="Times New Roman" w:cs="Times New Roman"/>
          <w:sz w:val="24"/>
          <w:szCs w:val="24"/>
          <w:shd w:val="clear" w:color="auto" w:fill="FEFEFE"/>
          <w:lang w:eastAsia="bg-BG"/>
        </w:rPr>
        <w:t xml:space="preserve">. „Управленски опит“ - </w:t>
      </w:r>
      <w:r w:rsidR="00443731" w:rsidRPr="00443731">
        <w:rPr>
          <w:rFonts w:ascii="Times New Roman" w:eastAsia="Times New Roman" w:hAnsi="Times New Roman" w:cs="Times New Roman"/>
          <w:sz w:val="24"/>
          <w:szCs w:val="24"/>
          <w:shd w:val="clear" w:color="auto" w:fill="FEFEFE"/>
          <w:lang w:eastAsia="bg-BG"/>
        </w:rPr>
        <w:t>о</w:t>
      </w:r>
      <w:r w:rsidR="00B42671" w:rsidRPr="00443731">
        <w:rPr>
          <w:rFonts w:ascii="Times New Roman" w:eastAsia="Times New Roman" w:hAnsi="Times New Roman" w:cs="Times New Roman"/>
          <w:sz w:val="24"/>
          <w:szCs w:val="24"/>
          <w:shd w:val="clear" w:color="auto" w:fill="FEFEFE"/>
          <w:lang w:eastAsia="bg-BG"/>
        </w:rPr>
        <w:t>пит в управлението на юридическо лице</w:t>
      </w:r>
      <w:r w:rsidR="001E1620">
        <w:rPr>
          <w:rFonts w:ascii="Times New Roman" w:eastAsia="Times New Roman" w:hAnsi="Times New Roman" w:cs="Times New Roman"/>
          <w:sz w:val="24"/>
          <w:szCs w:val="24"/>
          <w:shd w:val="clear" w:color="auto" w:fill="FEFEFE"/>
          <w:lang w:eastAsia="bg-BG"/>
        </w:rPr>
        <w:t xml:space="preserve"> и</w:t>
      </w:r>
      <w:r w:rsidR="001E1620">
        <w:rPr>
          <w:rFonts w:ascii="Times New Roman" w:eastAsia="Times New Roman" w:hAnsi="Times New Roman" w:cs="Times New Roman"/>
          <w:sz w:val="24"/>
          <w:szCs w:val="24"/>
          <w:shd w:val="clear" w:color="auto" w:fill="FEFEFE"/>
          <w:lang w:val="en-US" w:eastAsia="bg-BG"/>
        </w:rPr>
        <w:t>/</w:t>
      </w:r>
      <w:r w:rsidR="001E1620">
        <w:rPr>
          <w:rFonts w:ascii="Times New Roman" w:eastAsia="Times New Roman" w:hAnsi="Times New Roman" w:cs="Times New Roman"/>
          <w:sz w:val="24"/>
          <w:szCs w:val="24"/>
          <w:shd w:val="clear" w:color="auto" w:fill="FEFEFE"/>
          <w:lang w:eastAsia="bg-BG"/>
        </w:rPr>
        <w:t>или едноличен търговец,</w:t>
      </w:r>
      <w:r w:rsidR="00B42671" w:rsidRPr="00443731">
        <w:rPr>
          <w:rFonts w:ascii="Times New Roman" w:eastAsia="Times New Roman" w:hAnsi="Times New Roman" w:cs="Times New Roman"/>
          <w:sz w:val="24"/>
          <w:szCs w:val="24"/>
          <w:shd w:val="clear" w:color="auto" w:fill="FEFEFE"/>
          <w:lang w:eastAsia="bg-BG"/>
        </w:rPr>
        <w:t xml:space="preserve"> или на ръководна длъжност в </w:t>
      </w:r>
      <w:r w:rsidR="00443731" w:rsidRPr="00443731">
        <w:rPr>
          <w:rFonts w:ascii="Times New Roman" w:eastAsia="Times New Roman" w:hAnsi="Times New Roman" w:cs="Times New Roman"/>
          <w:sz w:val="24"/>
          <w:szCs w:val="24"/>
          <w:shd w:val="clear" w:color="auto" w:fill="FEFEFE"/>
          <w:lang w:eastAsia="bg-BG"/>
        </w:rPr>
        <w:t xml:space="preserve">публична </w:t>
      </w:r>
      <w:r w:rsidR="00B42671" w:rsidRPr="00443731">
        <w:rPr>
          <w:rFonts w:ascii="Times New Roman" w:eastAsia="Times New Roman" w:hAnsi="Times New Roman" w:cs="Times New Roman"/>
          <w:sz w:val="24"/>
          <w:szCs w:val="24"/>
          <w:shd w:val="clear" w:color="auto" w:fill="FEFEFE"/>
          <w:lang w:eastAsia="bg-BG"/>
        </w:rPr>
        <w:t xml:space="preserve">администрация. За управленски опит се счита и заемането на длъжност </w:t>
      </w:r>
      <w:r w:rsidR="00443731" w:rsidRPr="00443731">
        <w:rPr>
          <w:rFonts w:ascii="Times New Roman" w:eastAsia="Times New Roman" w:hAnsi="Times New Roman" w:cs="Times New Roman"/>
          <w:sz w:val="24"/>
          <w:szCs w:val="24"/>
          <w:shd w:val="clear" w:color="auto" w:fill="FEFEFE"/>
          <w:lang w:eastAsia="bg-BG"/>
        </w:rPr>
        <w:t>в УО на програмите, финансиращи подхода ЛИДЕР/ВОМР или ДФЗ, в чиято длъжностна характеристика е включено прилагането на подхода ЛИДЕР/ВОМР</w:t>
      </w:r>
      <w:r w:rsidR="00B42671" w:rsidRPr="00443731">
        <w:rPr>
          <w:rFonts w:ascii="Times New Roman" w:eastAsia="Times New Roman" w:hAnsi="Times New Roman" w:cs="Times New Roman"/>
          <w:sz w:val="24"/>
          <w:szCs w:val="24"/>
          <w:shd w:val="clear" w:color="auto" w:fill="FEFEFE"/>
          <w:lang w:eastAsia="bg-BG"/>
        </w:rPr>
        <w:t>;</w:t>
      </w:r>
    </w:p>
    <w:p w14:paraId="44A83E25" w14:textId="4C8E2C81" w:rsidR="00B42671" w:rsidRPr="00775751" w:rsidRDefault="00276BA2">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4</w:t>
      </w:r>
      <w:r w:rsidR="00F3199A">
        <w:rPr>
          <w:rFonts w:ascii="Times New Roman" w:eastAsia="Times New Roman" w:hAnsi="Times New Roman" w:cs="Times New Roman"/>
          <w:sz w:val="24"/>
          <w:szCs w:val="24"/>
          <w:shd w:val="clear" w:color="auto" w:fill="FEFEFE"/>
          <w:lang w:eastAsia="bg-BG"/>
        </w:rPr>
        <w:t>1</w:t>
      </w:r>
      <w:r w:rsidR="00B42671" w:rsidRPr="00443731">
        <w:rPr>
          <w:rFonts w:ascii="Times New Roman" w:eastAsia="Times New Roman" w:hAnsi="Times New Roman" w:cs="Times New Roman"/>
          <w:sz w:val="24"/>
          <w:szCs w:val="24"/>
          <w:shd w:val="clear" w:color="auto" w:fill="FEFEFE"/>
          <w:lang w:eastAsia="bg-BG"/>
        </w:rPr>
        <w:t xml:space="preserve">. „Финансова помощ“ - безвъзмездна финансова помощ по смисъла на Закона за управление на средствата от Европейските </w:t>
      </w:r>
      <w:r w:rsidR="00B42671" w:rsidRPr="00775751">
        <w:rPr>
          <w:rFonts w:ascii="Times New Roman" w:eastAsia="Times New Roman" w:hAnsi="Times New Roman" w:cs="Times New Roman"/>
          <w:sz w:val="24"/>
          <w:szCs w:val="24"/>
          <w:shd w:val="clear" w:color="auto" w:fill="FEFEFE"/>
          <w:lang w:eastAsia="bg-BG"/>
        </w:rPr>
        <w:t>фондове при споделено управление;</w:t>
      </w:r>
    </w:p>
    <w:p w14:paraId="1516969E" w14:textId="054E3CEA" w:rsidR="00525FFD" w:rsidRDefault="00525FFD">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4</w:t>
      </w:r>
      <w:r w:rsidR="00F3199A">
        <w:rPr>
          <w:rFonts w:ascii="Times New Roman" w:eastAsia="Times New Roman" w:hAnsi="Times New Roman" w:cs="Times New Roman"/>
          <w:sz w:val="24"/>
          <w:szCs w:val="24"/>
          <w:shd w:val="clear" w:color="auto" w:fill="FEFEFE"/>
          <w:lang w:eastAsia="bg-BG"/>
        </w:rPr>
        <w:t>2</w:t>
      </w:r>
      <w:r w:rsidR="00B42671" w:rsidRPr="00775751">
        <w:rPr>
          <w:rFonts w:ascii="Times New Roman" w:eastAsia="Times New Roman" w:hAnsi="Times New Roman" w:cs="Times New Roman"/>
          <w:sz w:val="24"/>
          <w:szCs w:val="24"/>
          <w:shd w:val="clear" w:color="auto" w:fill="FEFEFE"/>
          <w:lang w:eastAsia="bg-BG"/>
        </w:rPr>
        <w:t xml:space="preserve">. „Финансови параметри на стратегията за ВОМР“ - </w:t>
      </w:r>
      <w:r w:rsidR="00775751" w:rsidRPr="00775751">
        <w:rPr>
          <w:rFonts w:ascii="Times New Roman" w:eastAsia="Times New Roman" w:hAnsi="Times New Roman" w:cs="Times New Roman"/>
          <w:sz w:val="24"/>
          <w:szCs w:val="24"/>
          <w:shd w:val="clear" w:color="auto" w:fill="FEFEFE"/>
          <w:lang w:eastAsia="bg-BG"/>
        </w:rPr>
        <w:t>м</w:t>
      </w:r>
      <w:r w:rsidR="00B42671" w:rsidRPr="00775751">
        <w:rPr>
          <w:rFonts w:ascii="Times New Roman" w:eastAsia="Times New Roman" w:hAnsi="Times New Roman" w:cs="Times New Roman"/>
          <w:sz w:val="24"/>
          <w:szCs w:val="24"/>
          <w:shd w:val="clear" w:color="auto" w:fill="FEFEFE"/>
          <w:lang w:eastAsia="bg-BG"/>
        </w:rPr>
        <w:t>инимален и максимален размер на публичния принос за целия период на действие на стратегията за ВОМР за проекти, както и разпределението на средствата по мерките на стратегията за ВОМР;</w:t>
      </w:r>
    </w:p>
    <w:p w14:paraId="27DFF41C" w14:textId="7FF7ABD1" w:rsidR="00F3199A" w:rsidRDefault="00F3199A">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 xml:space="preserve">43. </w:t>
      </w:r>
      <w:r w:rsidRPr="00F3199A">
        <w:rPr>
          <w:rFonts w:ascii="Times New Roman" w:eastAsia="Times New Roman" w:hAnsi="Times New Roman" w:cs="Times New Roman"/>
          <w:sz w:val="24"/>
          <w:szCs w:val="24"/>
          <w:shd w:val="clear" w:color="auto" w:fill="FEFEFE"/>
          <w:lang w:eastAsia="bg-BG"/>
        </w:rPr>
        <w:t xml:space="preserve">„Част от по-голям проект“ – размерът на разходите от проект, отговарящ на до 10 % от общите разходи по проекта, което се доказва с договори за изпълнение, доставка, услуга и други </w:t>
      </w:r>
      <w:proofErr w:type="spellStart"/>
      <w:r w:rsidRPr="00F3199A">
        <w:rPr>
          <w:rFonts w:ascii="Times New Roman" w:eastAsia="Times New Roman" w:hAnsi="Times New Roman" w:cs="Times New Roman"/>
          <w:sz w:val="24"/>
          <w:szCs w:val="24"/>
          <w:shd w:val="clear" w:color="auto" w:fill="FEFEFE"/>
          <w:lang w:eastAsia="bg-BG"/>
        </w:rPr>
        <w:t>относими</w:t>
      </w:r>
      <w:proofErr w:type="spellEnd"/>
      <w:r w:rsidRPr="00F3199A">
        <w:rPr>
          <w:rFonts w:ascii="Times New Roman" w:eastAsia="Times New Roman" w:hAnsi="Times New Roman" w:cs="Times New Roman"/>
          <w:sz w:val="24"/>
          <w:szCs w:val="24"/>
          <w:shd w:val="clear" w:color="auto" w:fill="FEFEFE"/>
          <w:lang w:eastAsia="bg-BG"/>
        </w:rPr>
        <w:t xml:space="preserve"> документи (разрешение за строеж, задание за извършена обществена поръчка, интегрирани планове за развитие и други);</w:t>
      </w:r>
    </w:p>
    <w:p w14:paraId="5C33E65B" w14:textId="32FE4894" w:rsidR="003935EC" w:rsidRPr="00775751" w:rsidRDefault="00B42671">
      <w:pPr>
        <w:widowControl w:val="0"/>
        <w:pBdr>
          <w:left w:val="single" w:sz="4" w:space="4" w:color="auto"/>
          <w:bottom w:val="single" w:sz="4" w:space="1" w:color="auto"/>
          <w:right w:val="single" w:sz="4" w:space="1" w:color="auto"/>
        </w:pBdr>
        <w:autoSpaceDE w:val="0"/>
        <w:autoSpaceDN w:val="0"/>
        <w:adjustRightInd w:val="0"/>
        <w:spacing w:after="0"/>
        <w:ind w:firstLine="567"/>
        <w:jc w:val="both"/>
        <w:rPr>
          <w:rFonts w:ascii="Times New Roman" w:eastAsia="Times New Roman" w:hAnsi="Times New Roman" w:cs="Times New Roman"/>
          <w:sz w:val="24"/>
          <w:szCs w:val="24"/>
          <w:shd w:val="clear" w:color="auto" w:fill="FEFEFE"/>
          <w:lang w:eastAsia="bg-BG"/>
        </w:rPr>
      </w:pPr>
      <w:r w:rsidRPr="00775751">
        <w:rPr>
          <w:rFonts w:ascii="Times New Roman" w:eastAsia="Times New Roman" w:hAnsi="Times New Roman" w:cs="Times New Roman"/>
          <w:sz w:val="24"/>
          <w:szCs w:val="24"/>
          <w:shd w:val="clear" w:color="auto" w:fill="FEFEFE"/>
          <w:lang w:eastAsia="bg-BG"/>
        </w:rPr>
        <w:t>4</w:t>
      </w:r>
      <w:r w:rsidR="0087183B">
        <w:rPr>
          <w:rFonts w:ascii="Times New Roman" w:eastAsia="Times New Roman" w:hAnsi="Times New Roman" w:cs="Times New Roman"/>
          <w:sz w:val="24"/>
          <w:szCs w:val="24"/>
          <w:shd w:val="clear" w:color="auto" w:fill="FEFEFE"/>
          <w:lang w:eastAsia="bg-BG"/>
        </w:rPr>
        <w:t>4</w:t>
      </w:r>
      <w:r w:rsidRPr="00775751">
        <w:rPr>
          <w:rFonts w:ascii="Times New Roman" w:eastAsia="Times New Roman" w:hAnsi="Times New Roman" w:cs="Times New Roman"/>
          <w:sz w:val="24"/>
          <w:szCs w:val="24"/>
          <w:shd w:val="clear" w:color="auto" w:fill="FEFEFE"/>
          <w:lang w:eastAsia="bg-BG"/>
        </w:rPr>
        <w:t>. „Частно лице“ - всяко лице, което не може да бъде определено като публично лице.</w:t>
      </w:r>
    </w:p>
    <w:p w14:paraId="27914E2F" w14:textId="77777777" w:rsidR="00443731" w:rsidRDefault="00443731" w:rsidP="007541D6">
      <w:pPr>
        <w:ind w:firstLine="567"/>
        <w:rPr>
          <w:rFonts w:ascii="Times New Roman" w:hAnsi="Times New Roman" w:cs="Times New Roman"/>
          <w:sz w:val="24"/>
          <w:szCs w:val="24"/>
          <w:highlight w:val="yellow"/>
        </w:rPr>
      </w:pPr>
    </w:p>
    <w:p w14:paraId="4E190ABF" w14:textId="3DEB6CEA" w:rsidR="003935EC" w:rsidRPr="000218A7" w:rsidRDefault="003935EC" w:rsidP="007541D6">
      <w:pPr>
        <w:ind w:firstLine="567"/>
        <w:rPr>
          <w:rFonts w:ascii="Times New Roman" w:hAnsi="Times New Roman" w:cs="Times New Roman"/>
          <w:b/>
          <w:sz w:val="24"/>
          <w:szCs w:val="24"/>
        </w:rPr>
      </w:pPr>
      <w:r w:rsidRPr="000218A7">
        <w:rPr>
          <w:rFonts w:ascii="Times New Roman" w:hAnsi="Times New Roman" w:cs="Times New Roman"/>
          <w:b/>
          <w:sz w:val="24"/>
          <w:szCs w:val="24"/>
        </w:rPr>
        <w:t>28. Приложения към Условията за кандидатстване:</w:t>
      </w:r>
      <w:bookmarkEnd w:id="2"/>
    </w:p>
    <w:tbl>
      <w:tblPr>
        <w:tblStyle w:val="TableGrid"/>
        <w:tblW w:w="0" w:type="auto"/>
        <w:tblLook w:val="04A0" w:firstRow="1" w:lastRow="0" w:firstColumn="1" w:lastColumn="0" w:noHBand="0" w:noVBand="1"/>
      </w:tblPr>
      <w:tblGrid>
        <w:gridCol w:w="9889"/>
      </w:tblGrid>
      <w:tr w:rsidR="00FB202F" w:rsidRPr="00FB202F" w14:paraId="126AF5F6" w14:textId="77777777" w:rsidTr="000D7565">
        <w:tc>
          <w:tcPr>
            <w:tcW w:w="9889" w:type="dxa"/>
          </w:tcPr>
          <w:p w14:paraId="6D5DC287" w14:textId="511E5940" w:rsidR="009F4FF0" w:rsidRDefault="009F4FF0" w:rsidP="00E20FAD">
            <w:pPr>
              <w:spacing w:line="276" w:lineRule="auto"/>
              <w:jc w:val="both"/>
              <w:rPr>
                <w:rFonts w:ascii="Times New Roman" w:hAnsi="Times New Roman" w:cs="Times New Roman"/>
                <w:sz w:val="24"/>
                <w:szCs w:val="24"/>
              </w:rPr>
            </w:pPr>
            <w:r w:rsidRPr="00E45197">
              <w:rPr>
                <w:rFonts w:ascii="Times New Roman" w:hAnsi="Times New Roman" w:cs="Times New Roman"/>
                <w:sz w:val="24"/>
                <w:szCs w:val="24"/>
              </w:rPr>
              <w:t xml:space="preserve">1. </w:t>
            </w:r>
            <w:r w:rsidRPr="009F4FF0">
              <w:rPr>
                <w:rFonts w:ascii="Times New Roman" w:hAnsi="Times New Roman" w:cs="Times New Roman"/>
                <w:sz w:val="24"/>
                <w:szCs w:val="24"/>
              </w:rPr>
              <w:t xml:space="preserve">Приложение № </w:t>
            </w:r>
            <w:r w:rsidR="00D91C9A">
              <w:rPr>
                <w:rFonts w:ascii="Times New Roman" w:hAnsi="Times New Roman" w:cs="Times New Roman"/>
                <w:sz w:val="24"/>
                <w:szCs w:val="24"/>
              </w:rPr>
              <w:t>1</w:t>
            </w:r>
            <w:r w:rsidRPr="009F4FF0">
              <w:rPr>
                <w:rFonts w:ascii="Times New Roman" w:hAnsi="Times New Roman" w:cs="Times New Roman"/>
                <w:sz w:val="24"/>
                <w:szCs w:val="24"/>
              </w:rPr>
              <w:t xml:space="preserve"> Д</w:t>
            </w:r>
            <w:r>
              <w:rPr>
                <w:rFonts w:ascii="Times New Roman" w:hAnsi="Times New Roman" w:cs="Times New Roman"/>
                <w:sz w:val="24"/>
                <w:szCs w:val="24"/>
              </w:rPr>
              <w:t>екларация за отстраняване;</w:t>
            </w:r>
          </w:p>
          <w:p w14:paraId="6FC9EAFB" w14:textId="40883211" w:rsidR="009F4FF0" w:rsidRDefault="00D91C9A" w:rsidP="00E20FAD">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9F4FF0">
              <w:rPr>
                <w:rFonts w:ascii="Times New Roman" w:hAnsi="Times New Roman" w:cs="Times New Roman"/>
                <w:sz w:val="24"/>
                <w:szCs w:val="24"/>
              </w:rPr>
              <w:t xml:space="preserve">. </w:t>
            </w:r>
            <w:r w:rsidR="009F4FF0" w:rsidRPr="009F4FF0">
              <w:rPr>
                <w:rFonts w:ascii="Times New Roman" w:hAnsi="Times New Roman" w:cs="Times New Roman"/>
                <w:sz w:val="24"/>
                <w:szCs w:val="24"/>
              </w:rPr>
              <w:t xml:space="preserve">Приложение № </w:t>
            </w:r>
            <w:r>
              <w:rPr>
                <w:rFonts w:ascii="Times New Roman" w:hAnsi="Times New Roman" w:cs="Times New Roman"/>
                <w:sz w:val="24"/>
                <w:szCs w:val="24"/>
              </w:rPr>
              <w:t>2</w:t>
            </w:r>
            <w:r w:rsidR="009F4FF0" w:rsidRPr="009F4FF0">
              <w:rPr>
                <w:rFonts w:ascii="Times New Roman" w:hAnsi="Times New Roman" w:cs="Times New Roman"/>
                <w:sz w:val="24"/>
                <w:szCs w:val="24"/>
              </w:rPr>
              <w:t xml:space="preserve"> Обр</w:t>
            </w:r>
            <w:r w:rsidR="009F4FF0">
              <w:rPr>
                <w:rFonts w:ascii="Times New Roman" w:hAnsi="Times New Roman" w:cs="Times New Roman"/>
                <w:sz w:val="24"/>
                <w:szCs w:val="24"/>
              </w:rPr>
              <w:t>азец на стратегия за ВОМР;</w:t>
            </w:r>
          </w:p>
          <w:p w14:paraId="23D7A8D9" w14:textId="2C36F6D4" w:rsidR="009F4FF0" w:rsidRDefault="00D91C9A" w:rsidP="00E20FAD">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9F4FF0">
              <w:rPr>
                <w:rFonts w:ascii="Times New Roman" w:hAnsi="Times New Roman" w:cs="Times New Roman"/>
                <w:sz w:val="24"/>
                <w:szCs w:val="24"/>
              </w:rPr>
              <w:t xml:space="preserve">. </w:t>
            </w:r>
            <w:r w:rsidR="009F4FF0" w:rsidRPr="009F4FF0">
              <w:rPr>
                <w:rFonts w:ascii="Times New Roman" w:hAnsi="Times New Roman" w:cs="Times New Roman"/>
                <w:sz w:val="24"/>
                <w:szCs w:val="24"/>
              </w:rPr>
              <w:t xml:space="preserve">Приложение № </w:t>
            </w:r>
            <w:r>
              <w:rPr>
                <w:rFonts w:ascii="Times New Roman" w:hAnsi="Times New Roman" w:cs="Times New Roman"/>
                <w:sz w:val="24"/>
                <w:szCs w:val="24"/>
              </w:rPr>
              <w:t>3</w:t>
            </w:r>
            <w:r w:rsidR="009F4FF0" w:rsidRPr="009F4FF0">
              <w:rPr>
                <w:rFonts w:ascii="Times New Roman" w:hAnsi="Times New Roman" w:cs="Times New Roman"/>
                <w:sz w:val="24"/>
                <w:szCs w:val="24"/>
              </w:rPr>
              <w:t xml:space="preserve"> Финансов план</w:t>
            </w:r>
            <w:r w:rsidR="00C77F90">
              <w:rPr>
                <w:rFonts w:ascii="Times New Roman" w:hAnsi="Times New Roman" w:cs="Times New Roman"/>
                <w:sz w:val="24"/>
                <w:szCs w:val="24"/>
              </w:rPr>
              <w:t xml:space="preserve"> </w:t>
            </w:r>
            <w:r w:rsidR="009F4FF0" w:rsidRPr="009F4FF0">
              <w:rPr>
                <w:rFonts w:ascii="Times New Roman" w:hAnsi="Times New Roman" w:cs="Times New Roman"/>
                <w:sz w:val="24"/>
                <w:szCs w:val="24"/>
              </w:rPr>
              <w:t>-</w:t>
            </w:r>
            <w:r w:rsidR="00C77F90">
              <w:rPr>
                <w:rFonts w:ascii="Times New Roman" w:hAnsi="Times New Roman" w:cs="Times New Roman"/>
                <w:sz w:val="24"/>
                <w:szCs w:val="24"/>
              </w:rPr>
              <w:t xml:space="preserve"> </w:t>
            </w:r>
            <w:r w:rsidR="009F4FF0" w:rsidRPr="009F4FF0">
              <w:rPr>
                <w:rFonts w:ascii="Times New Roman" w:hAnsi="Times New Roman" w:cs="Times New Roman"/>
                <w:sz w:val="24"/>
                <w:szCs w:val="24"/>
              </w:rPr>
              <w:t>Управление и попу</w:t>
            </w:r>
            <w:r w:rsidR="009F4FF0">
              <w:rPr>
                <w:rFonts w:ascii="Times New Roman" w:hAnsi="Times New Roman" w:cs="Times New Roman"/>
                <w:sz w:val="24"/>
                <w:szCs w:val="24"/>
              </w:rPr>
              <w:t xml:space="preserve">ляризиране на стратегията; </w:t>
            </w:r>
          </w:p>
          <w:p w14:paraId="3DF9316F" w14:textId="533EBA47" w:rsidR="009F4FF0" w:rsidRDefault="00D91C9A" w:rsidP="00E20FAD">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9F4FF0">
              <w:rPr>
                <w:rFonts w:ascii="Times New Roman" w:hAnsi="Times New Roman" w:cs="Times New Roman"/>
                <w:sz w:val="24"/>
                <w:szCs w:val="24"/>
              </w:rPr>
              <w:t xml:space="preserve">. </w:t>
            </w:r>
            <w:r w:rsidR="009F4FF0" w:rsidRPr="009F4FF0">
              <w:rPr>
                <w:rFonts w:ascii="Times New Roman" w:hAnsi="Times New Roman" w:cs="Times New Roman"/>
                <w:sz w:val="24"/>
                <w:szCs w:val="24"/>
              </w:rPr>
              <w:t xml:space="preserve">Приложение № </w:t>
            </w:r>
            <w:r>
              <w:rPr>
                <w:rFonts w:ascii="Times New Roman" w:hAnsi="Times New Roman" w:cs="Times New Roman"/>
                <w:sz w:val="24"/>
                <w:szCs w:val="24"/>
              </w:rPr>
              <w:t>4</w:t>
            </w:r>
            <w:r w:rsidR="009F4FF0" w:rsidRPr="009F4FF0">
              <w:rPr>
                <w:rFonts w:ascii="Times New Roman" w:hAnsi="Times New Roman" w:cs="Times New Roman"/>
                <w:sz w:val="24"/>
                <w:szCs w:val="24"/>
              </w:rPr>
              <w:t xml:space="preserve"> Критерии за административно с</w:t>
            </w:r>
            <w:r w:rsidR="009F4FF0">
              <w:rPr>
                <w:rFonts w:ascii="Times New Roman" w:hAnsi="Times New Roman" w:cs="Times New Roman"/>
                <w:sz w:val="24"/>
                <w:szCs w:val="24"/>
              </w:rPr>
              <w:t>ъответствие и допустимост;</w:t>
            </w:r>
          </w:p>
          <w:p w14:paraId="0111D09E" w14:textId="60F009F8" w:rsidR="009F4FF0" w:rsidRDefault="00D91C9A" w:rsidP="00E20FAD">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9F4FF0">
              <w:rPr>
                <w:rFonts w:ascii="Times New Roman" w:hAnsi="Times New Roman" w:cs="Times New Roman"/>
                <w:sz w:val="24"/>
                <w:szCs w:val="24"/>
              </w:rPr>
              <w:t xml:space="preserve">. </w:t>
            </w:r>
            <w:r w:rsidR="009F4FF0" w:rsidRPr="009F4FF0">
              <w:rPr>
                <w:rFonts w:ascii="Times New Roman" w:hAnsi="Times New Roman" w:cs="Times New Roman"/>
                <w:sz w:val="24"/>
                <w:szCs w:val="24"/>
              </w:rPr>
              <w:t xml:space="preserve">Приложение № </w:t>
            </w:r>
            <w:r>
              <w:rPr>
                <w:rFonts w:ascii="Times New Roman" w:hAnsi="Times New Roman" w:cs="Times New Roman"/>
                <w:sz w:val="24"/>
                <w:szCs w:val="24"/>
              </w:rPr>
              <w:t>5</w:t>
            </w:r>
            <w:r w:rsidR="009F4FF0" w:rsidRPr="009F4FF0">
              <w:rPr>
                <w:rFonts w:ascii="Times New Roman" w:hAnsi="Times New Roman" w:cs="Times New Roman"/>
                <w:sz w:val="24"/>
                <w:szCs w:val="24"/>
              </w:rPr>
              <w:t xml:space="preserve"> Критерии за подб</w:t>
            </w:r>
            <w:r w:rsidR="009F4FF0">
              <w:rPr>
                <w:rFonts w:ascii="Times New Roman" w:hAnsi="Times New Roman" w:cs="Times New Roman"/>
                <w:sz w:val="24"/>
                <w:szCs w:val="24"/>
              </w:rPr>
              <w:t>ор на стратегиите за ВОМР;</w:t>
            </w:r>
          </w:p>
          <w:p w14:paraId="364136CC" w14:textId="76EEDC32" w:rsidR="009F4FF0" w:rsidRDefault="00D91C9A" w:rsidP="00E20FAD">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9F4FF0">
              <w:rPr>
                <w:rFonts w:ascii="Times New Roman" w:hAnsi="Times New Roman" w:cs="Times New Roman"/>
                <w:sz w:val="24"/>
                <w:szCs w:val="24"/>
              </w:rPr>
              <w:t xml:space="preserve">. </w:t>
            </w:r>
            <w:r w:rsidR="009F4FF0" w:rsidRPr="009F4FF0">
              <w:rPr>
                <w:rFonts w:ascii="Times New Roman" w:hAnsi="Times New Roman" w:cs="Times New Roman"/>
                <w:sz w:val="24"/>
                <w:szCs w:val="24"/>
              </w:rPr>
              <w:t xml:space="preserve">Приложение № </w:t>
            </w:r>
            <w:r>
              <w:rPr>
                <w:rFonts w:ascii="Times New Roman" w:hAnsi="Times New Roman" w:cs="Times New Roman"/>
                <w:sz w:val="24"/>
                <w:szCs w:val="24"/>
              </w:rPr>
              <w:t>6</w:t>
            </w:r>
            <w:r w:rsidR="009F4FF0">
              <w:rPr>
                <w:rFonts w:ascii="Times New Roman" w:hAnsi="Times New Roman" w:cs="Times New Roman"/>
                <w:sz w:val="24"/>
                <w:szCs w:val="24"/>
              </w:rPr>
              <w:t xml:space="preserve"> Декларация за нередности;</w:t>
            </w:r>
          </w:p>
          <w:p w14:paraId="6B03F40B" w14:textId="578588EF" w:rsidR="009F4FF0" w:rsidRDefault="00D91C9A" w:rsidP="00E20FAD">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9F4FF0">
              <w:rPr>
                <w:rFonts w:ascii="Times New Roman" w:hAnsi="Times New Roman" w:cs="Times New Roman"/>
                <w:sz w:val="24"/>
                <w:szCs w:val="24"/>
              </w:rPr>
              <w:t xml:space="preserve">. </w:t>
            </w:r>
            <w:r w:rsidR="009F4FF0" w:rsidRPr="009F4FF0">
              <w:rPr>
                <w:rFonts w:ascii="Times New Roman" w:hAnsi="Times New Roman" w:cs="Times New Roman"/>
                <w:sz w:val="24"/>
                <w:szCs w:val="24"/>
              </w:rPr>
              <w:t xml:space="preserve">Приложение № </w:t>
            </w:r>
            <w:r>
              <w:rPr>
                <w:rFonts w:ascii="Times New Roman" w:hAnsi="Times New Roman" w:cs="Times New Roman"/>
                <w:sz w:val="24"/>
                <w:szCs w:val="24"/>
              </w:rPr>
              <w:t>7</w:t>
            </w:r>
            <w:r w:rsidR="009F4FF0" w:rsidRPr="009F4FF0">
              <w:rPr>
                <w:rFonts w:ascii="Times New Roman" w:hAnsi="Times New Roman" w:cs="Times New Roman"/>
                <w:sz w:val="24"/>
                <w:szCs w:val="24"/>
              </w:rPr>
              <w:t xml:space="preserve"> Декларация за изк</w:t>
            </w:r>
            <w:r w:rsidR="009F4FF0">
              <w:rPr>
                <w:rFonts w:ascii="Times New Roman" w:hAnsi="Times New Roman" w:cs="Times New Roman"/>
                <w:sz w:val="24"/>
                <w:szCs w:val="24"/>
              </w:rPr>
              <w:t xml:space="preserve">уствено създадени условия; </w:t>
            </w:r>
          </w:p>
          <w:p w14:paraId="141A0A86" w14:textId="77777777" w:rsidR="00A1409E" w:rsidRDefault="00D91C9A" w:rsidP="00D91C9A">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9F4FF0">
              <w:rPr>
                <w:rFonts w:ascii="Times New Roman" w:hAnsi="Times New Roman" w:cs="Times New Roman"/>
                <w:sz w:val="24"/>
                <w:szCs w:val="24"/>
              </w:rPr>
              <w:t xml:space="preserve">. </w:t>
            </w:r>
            <w:r w:rsidR="009F4FF0" w:rsidRPr="009F4FF0">
              <w:rPr>
                <w:rFonts w:ascii="Times New Roman" w:hAnsi="Times New Roman" w:cs="Times New Roman"/>
                <w:sz w:val="24"/>
                <w:szCs w:val="24"/>
              </w:rPr>
              <w:t xml:space="preserve">Приложение № </w:t>
            </w:r>
            <w:r>
              <w:rPr>
                <w:rFonts w:ascii="Times New Roman" w:hAnsi="Times New Roman" w:cs="Times New Roman"/>
                <w:sz w:val="24"/>
                <w:szCs w:val="24"/>
              </w:rPr>
              <w:t>8</w:t>
            </w:r>
            <w:r w:rsidR="009F4FF0" w:rsidRPr="009F4FF0">
              <w:rPr>
                <w:rFonts w:ascii="Times New Roman" w:hAnsi="Times New Roman" w:cs="Times New Roman"/>
                <w:sz w:val="24"/>
                <w:szCs w:val="24"/>
              </w:rPr>
              <w:t xml:space="preserve"> Декларация от служите</w:t>
            </w:r>
            <w:r w:rsidR="009F4FF0">
              <w:rPr>
                <w:rFonts w:ascii="Times New Roman" w:hAnsi="Times New Roman" w:cs="Times New Roman"/>
                <w:sz w:val="24"/>
                <w:szCs w:val="24"/>
              </w:rPr>
              <w:t>ли на МИГ</w:t>
            </w:r>
            <w:r w:rsidR="00A1409E">
              <w:rPr>
                <w:rFonts w:ascii="Times New Roman" w:hAnsi="Times New Roman" w:cs="Times New Roman"/>
                <w:sz w:val="24"/>
                <w:szCs w:val="24"/>
              </w:rPr>
              <w:t>;</w:t>
            </w:r>
          </w:p>
          <w:p w14:paraId="4F455C82" w14:textId="77777777" w:rsidR="00A1409E" w:rsidRDefault="00A1409E" w:rsidP="00D91C9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A1409E">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A1409E">
              <w:rPr>
                <w:rFonts w:ascii="Times New Roman" w:hAnsi="Times New Roman" w:cs="Times New Roman"/>
                <w:sz w:val="24"/>
                <w:szCs w:val="24"/>
              </w:rPr>
              <w:t>9 Декларация индикатори</w:t>
            </w:r>
            <w:r>
              <w:rPr>
                <w:rFonts w:ascii="Times New Roman" w:hAnsi="Times New Roman" w:cs="Times New Roman"/>
                <w:sz w:val="24"/>
                <w:szCs w:val="24"/>
              </w:rPr>
              <w:t>;</w:t>
            </w:r>
          </w:p>
          <w:p w14:paraId="7CD0D114" w14:textId="2E0236A5" w:rsidR="00A1409E" w:rsidRDefault="00A1409E" w:rsidP="00D91C9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A1409E">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A1409E">
              <w:rPr>
                <w:rFonts w:ascii="Times New Roman" w:hAnsi="Times New Roman" w:cs="Times New Roman"/>
                <w:sz w:val="24"/>
                <w:szCs w:val="24"/>
              </w:rPr>
              <w:t xml:space="preserve">10 Указания </w:t>
            </w:r>
            <w:r w:rsidR="002468CE">
              <w:rPr>
                <w:rFonts w:ascii="Times New Roman" w:hAnsi="Times New Roman" w:cs="Times New Roman"/>
                <w:sz w:val="24"/>
                <w:szCs w:val="24"/>
              </w:rPr>
              <w:t>съгласно чл. 10, ал. 1 на ПМС №494 от управляващия орган на програма „Развитие на човешките ресурси“</w:t>
            </w:r>
            <w:r>
              <w:rPr>
                <w:rFonts w:ascii="Times New Roman" w:hAnsi="Times New Roman" w:cs="Times New Roman"/>
                <w:sz w:val="24"/>
                <w:szCs w:val="24"/>
              </w:rPr>
              <w:t>;</w:t>
            </w:r>
          </w:p>
          <w:p w14:paraId="69F25ECA" w14:textId="2EE3AB34" w:rsidR="00A1409E" w:rsidRDefault="00A1409E" w:rsidP="00D91C9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Pr="00A1409E">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A1409E">
              <w:rPr>
                <w:rFonts w:ascii="Times New Roman" w:hAnsi="Times New Roman" w:cs="Times New Roman"/>
                <w:sz w:val="24"/>
                <w:szCs w:val="24"/>
              </w:rPr>
              <w:t xml:space="preserve">11 Формуляр за допълващо финансиране </w:t>
            </w:r>
            <w:r w:rsidR="002468CE">
              <w:rPr>
                <w:rFonts w:ascii="Times New Roman" w:hAnsi="Times New Roman" w:cs="Times New Roman"/>
                <w:sz w:val="24"/>
                <w:szCs w:val="24"/>
              </w:rPr>
              <w:t>по програма „Развитие на човешките ресурси“</w:t>
            </w:r>
            <w:r>
              <w:rPr>
                <w:rFonts w:ascii="Times New Roman" w:hAnsi="Times New Roman" w:cs="Times New Roman"/>
                <w:sz w:val="24"/>
                <w:szCs w:val="24"/>
              </w:rPr>
              <w:t>;</w:t>
            </w:r>
          </w:p>
          <w:p w14:paraId="22B4DA3E" w14:textId="0D8C33B3" w:rsidR="00A1409E" w:rsidRDefault="00A1409E" w:rsidP="00D91C9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Pr="00A1409E">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A1409E">
              <w:rPr>
                <w:rFonts w:ascii="Times New Roman" w:hAnsi="Times New Roman" w:cs="Times New Roman"/>
                <w:sz w:val="24"/>
                <w:szCs w:val="24"/>
              </w:rPr>
              <w:t xml:space="preserve">12 Указания </w:t>
            </w:r>
            <w:r w:rsidR="002468CE">
              <w:rPr>
                <w:rFonts w:ascii="Times New Roman" w:hAnsi="Times New Roman" w:cs="Times New Roman"/>
                <w:sz w:val="24"/>
                <w:szCs w:val="24"/>
              </w:rPr>
              <w:t>съгласно чл. 10, ал. 1 на ПМС №494 от управляващия орган на</w:t>
            </w:r>
            <w:r w:rsidR="002468CE" w:rsidRPr="00A1409E">
              <w:rPr>
                <w:rFonts w:ascii="Times New Roman" w:hAnsi="Times New Roman" w:cs="Times New Roman"/>
                <w:sz w:val="24"/>
                <w:szCs w:val="24"/>
              </w:rPr>
              <w:t xml:space="preserve"> </w:t>
            </w:r>
            <w:r w:rsidR="002468CE">
              <w:rPr>
                <w:rFonts w:ascii="Times New Roman" w:hAnsi="Times New Roman" w:cs="Times New Roman"/>
                <w:sz w:val="24"/>
                <w:szCs w:val="24"/>
              </w:rPr>
              <w:t>програма „Образование“</w:t>
            </w:r>
            <w:r>
              <w:rPr>
                <w:rFonts w:ascii="Times New Roman" w:hAnsi="Times New Roman" w:cs="Times New Roman"/>
                <w:sz w:val="24"/>
                <w:szCs w:val="24"/>
              </w:rPr>
              <w:t>;</w:t>
            </w:r>
          </w:p>
          <w:p w14:paraId="21337BBA" w14:textId="3F08E690" w:rsidR="00A1409E" w:rsidRDefault="00A1409E" w:rsidP="00D91C9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A1409E">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A1409E">
              <w:rPr>
                <w:rFonts w:ascii="Times New Roman" w:hAnsi="Times New Roman" w:cs="Times New Roman"/>
                <w:sz w:val="24"/>
                <w:szCs w:val="24"/>
              </w:rPr>
              <w:t xml:space="preserve">13 Формуляр </w:t>
            </w:r>
            <w:r w:rsidR="002468CE">
              <w:rPr>
                <w:rFonts w:ascii="Times New Roman" w:hAnsi="Times New Roman" w:cs="Times New Roman"/>
                <w:sz w:val="24"/>
                <w:szCs w:val="24"/>
              </w:rPr>
              <w:t xml:space="preserve">за </w:t>
            </w:r>
            <w:r w:rsidRPr="00A1409E">
              <w:rPr>
                <w:rFonts w:ascii="Times New Roman" w:hAnsi="Times New Roman" w:cs="Times New Roman"/>
                <w:sz w:val="24"/>
                <w:szCs w:val="24"/>
              </w:rPr>
              <w:t xml:space="preserve">допълващо финансиране </w:t>
            </w:r>
            <w:r w:rsidR="002468CE">
              <w:rPr>
                <w:rFonts w:ascii="Times New Roman" w:hAnsi="Times New Roman" w:cs="Times New Roman"/>
                <w:sz w:val="24"/>
                <w:szCs w:val="24"/>
              </w:rPr>
              <w:t>по програма „Образование“</w:t>
            </w:r>
            <w:r>
              <w:rPr>
                <w:rFonts w:ascii="Times New Roman" w:hAnsi="Times New Roman" w:cs="Times New Roman"/>
                <w:sz w:val="24"/>
                <w:szCs w:val="24"/>
              </w:rPr>
              <w:t>;</w:t>
            </w:r>
          </w:p>
          <w:p w14:paraId="3290DAAA" w14:textId="3D2A761F" w:rsidR="003935EC" w:rsidRDefault="00A1409E" w:rsidP="002468C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A1409E">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A1409E">
              <w:rPr>
                <w:rFonts w:ascii="Times New Roman" w:hAnsi="Times New Roman" w:cs="Times New Roman"/>
                <w:sz w:val="24"/>
                <w:szCs w:val="24"/>
              </w:rPr>
              <w:t xml:space="preserve">14 Указания </w:t>
            </w:r>
            <w:r w:rsidR="002468CE">
              <w:rPr>
                <w:rFonts w:ascii="Times New Roman" w:hAnsi="Times New Roman" w:cs="Times New Roman"/>
                <w:sz w:val="24"/>
                <w:szCs w:val="24"/>
              </w:rPr>
              <w:t>съгласно чл. 10, ал. 1 на ПМС №494 на управляващия орган</w:t>
            </w:r>
            <w:r w:rsidR="002468CE" w:rsidRPr="00A1409E">
              <w:rPr>
                <w:rFonts w:ascii="Times New Roman" w:hAnsi="Times New Roman" w:cs="Times New Roman"/>
                <w:sz w:val="24"/>
                <w:szCs w:val="24"/>
              </w:rPr>
              <w:t xml:space="preserve"> </w:t>
            </w:r>
            <w:r w:rsidR="002468CE">
              <w:rPr>
                <w:rFonts w:ascii="Times New Roman" w:hAnsi="Times New Roman" w:cs="Times New Roman"/>
                <w:sz w:val="24"/>
                <w:szCs w:val="24"/>
              </w:rPr>
              <w:t>на програма „Околна среда“;</w:t>
            </w:r>
          </w:p>
          <w:p w14:paraId="1E5F3367" w14:textId="77777777" w:rsidR="002468CE" w:rsidRDefault="002468CE" w:rsidP="009856D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009856DA" w:rsidRPr="00A1409E">
              <w:rPr>
                <w:rFonts w:ascii="Times New Roman" w:hAnsi="Times New Roman" w:cs="Times New Roman"/>
                <w:sz w:val="24"/>
                <w:szCs w:val="24"/>
              </w:rPr>
              <w:t xml:space="preserve">Приложение </w:t>
            </w:r>
            <w:r w:rsidR="009856DA">
              <w:rPr>
                <w:rFonts w:ascii="Times New Roman" w:hAnsi="Times New Roman" w:cs="Times New Roman"/>
                <w:sz w:val="24"/>
                <w:szCs w:val="24"/>
              </w:rPr>
              <w:t xml:space="preserve">№ </w:t>
            </w:r>
            <w:r w:rsidR="009856DA" w:rsidRPr="00A1409E">
              <w:rPr>
                <w:rFonts w:ascii="Times New Roman" w:hAnsi="Times New Roman" w:cs="Times New Roman"/>
                <w:sz w:val="24"/>
                <w:szCs w:val="24"/>
              </w:rPr>
              <w:t>1</w:t>
            </w:r>
            <w:r w:rsidR="009856DA">
              <w:rPr>
                <w:rFonts w:ascii="Times New Roman" w:hAnsi="Times New Roman" w:cs="Times New Roman"/>
                <w:sz w:val="24"/>
                <w:szCs w:val="24"/>
              </w:rPr>
              <w:t>5</w:t>
            </w:r>
            <w:r w:rsidR="009856DA" w:rsidRPr="00A1409E">
              <w:rPr>
                <w:rFonts w:ascii="Times New Roman" w:hAnsi="Times New Roman" w:cs="Times New Roman"/>
                <w:sz w:val="24"/>
                <w:szCs w:val="24"/>
              </w:rPr>
              <w:t xml:space="preserve"> Формуляр </w:t>
            </w:r>
            <w:r w:rsidR="009856DA">
              <w:rPr>
                <w:rFonts w:ascii="Times New Roman" w:hAnsi="Times New Roman" w:cs="Times New Roman"/>
                <w:sz w:val="24"/>
                <w:szCs w:val="24"/>
              </w:rPr>
              <w:t xml:space="preserve">за </w:t>
            </w:r>
            <w:r w:rsidR="009856DA" w:rsidRPr="00A1409E">
              <w:rPr>
                <w:rFonts w:ascii="Times New Roman" w:hAnsi="Times New Roman" w:cs="Times New Roman"/>
                <w:sz w:val="24"/>
                <w:szCs w:val="24"/>
              </w:rPr>
              <w:t xml:space="preserve">допълващо финансиране </w:t>
            </w:r>
            <w:r w:rsidR="009856DA">
              <w:rPr>
                <w:rFonts w:ascii="Times New Roman" w:hAnsi="Times New Roman" w:cs="Times New Roman"/>
                <w:sz w:val="24"/>
                <w:szCs w:val="24"/>
              </w:rPr>
              <w:t>по програма „Околна среда“;</w:t>
            </w:r>
          </w:p>
          <w:p w14:paraId="4543B25C" w14:textId="1AC3295E" w:rsidR="009856DA" w:rsidRDefault="009856DA" w:rsidP="009856D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A1409E">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A1409E">
              <w:rPr>
                <w:rFonts w:ascii="Times New Roman" w:hAnsi="Times New Roman" w:cs="Times New Roman"/>
                <w:sz w:val="24"/>
                <w:szCs w:val="24"/>
              </w:rPr>
              <w:t>1</w:t>
            </w:r>
            <w:r>
              <w:rPr>
                <w:rFonts w:ascii="Times New Roman" w:hAnsi="Times New Roman" w:cs="Times New Roman"/>
                <w:sz w:val="24"/>
                <w:szCs w:val="24"/>
              </w:rPr>
              <w:t>6</w:t>
            </w:r>
            <w:r w:rsidRPr="00A1409E">
              <w:rPr>
                <w:rFonts w:ascii="Times New Roman" w:hAnsi="Times New Roman" w:cs="Times New Roman"/>
                <w:sz w:val="24"/>
                <w:szCs w:val="24"/>
              </w:rPr>
              <w:t xml:space="preserve"> Указания </w:t>
            </w:r>
            <w:r>
              <w:rPr>
                <w:rFonts w:ascii="Times New Roman" w:hAnsi="Times New Roman" w:cs="Times New Roman"/>
                <w:sz w:val="24"/>
                <w:szCs w:val="24"/>
              </w:rPr>
              <w:t>съгласно чл. 10, ал. 1 на ПМС №494 от управляващия орган на</w:t>
            </w:r>
            <w:r w:rsidRPr="00A1409E">
              <w:rPr>
                <w:rFonts w:ascii="Times New Roman" w:hAnsi="Times New Roman" w:cs="Times New Roman"/>
                <w:sz w:val="24"/>
                <w:szCs w:val="24"/>
              </w:rPr>
              <w:t xml:space="preserve"> </w:t>
            </w:r>
            <w:r>
              <w:rPr>
                <w:rFonts w:ascii="Times New Roman" w:hAnsi="Times New Roman" w:cs="Times New Roman"/>
                <w:sz w:val="24"/>
                <w:szCs w:val="24"/>
              </w:rPr>
              <w:t>програма „Конкурентоспособност и иновации в предприятията“;</w:t>
            </w:r>
          </w:p>
          <w:p w14:paraId="3E6A6329" w14:textId="2724F59C" w:rsidR="009856DA" w:rsidRPr="00FB202F" w:rsidRDefault="009856DA" w:rsidP="009856DA">
            <w:pPr>
              <w:spacing w:line="276" w:lineRule="auto"/>
              <w:jc w:val="both"/>
              <w:rPr>
                <w:rFonts w:ascii="Times New Roman" w:hAnsi="Times New Roman" w:cs="Times New Roman"/>
                <w:sz w:val="24"/>
                <w:szCs w:val="24"/>
              </w:rPr>
            </w:pPr>
            <w:r>
              <w:rPr>
                <w:rFonts w:ascii="Times New Roman" w:hAnsi="Times New Roman" w:cs="Times New Roman"/>
                <w:sz w:val="24"/>
                <w:szCs w:val="24"/>
              </w:rPr>
              <w:t>17.</w:t>
            </w:r>
            <w:r w:rsidRPr="00A1409E">
              <w:rPr>
                <w:rFonts w:ascii="Times New Roman" w:hAnsi="Times New Roman" w:cs="Times New Roman"/>
                <w:sz w:val="24"/>
                <w:szCs w:val="24"/>
              </w:rPr>
              <w:t xml:space="preserve"> Приложение </w:t>
            </w:r>
            <w:r>
              <w:rPr>
                <w:rFonts w:ascii="Times New Roman" w:hAnsi="Times New Roman" w:cs="Times New Roman"/>
                <w:sz w:val="24"/>
                <w:szCs w:val="24"/>
              </w:rPr>
              <w:t xml:space="preserve">№ </w:t>
            </w:r>
            <w:r w:rsidRPr="00A1409E">
              <w:rPr>
                <w:rFonts w:ascii="Times New Roman" w:hAnsi="Times New Roman" w:cs="Times New Roman"/>
                <w:sz w:val="24"/>
                <w:szCs w:val="24"/>
              </w:rPr>
              <w:t>1</w:t>
            </w:r>
            <w:r>
              <w:rPr>
                <w:rFonts w:ascii="Times New Roman" w:hAnsi="Times New Roman" w:cs="Times New Roman"/>
                <w:sz w:val="24"/>
                <w:szCs w:val="24"/>
              </w:rPr>
              <w:t>5</w:t>
            </w:r>
            <w:r w:rsidRPr="00A1409E">
              <w:rPr>
                <w:rFonts w:ascii="Times New Roman" w:hAnsi="Times New Roman" w:cs="Times New Roman"/>
                <w:sz w:val="24"/>
                <w:szCs w:val="24"/>
              </w:rPr>
              <w:t xml:space="preserve"> Формуляр </w:t>
            </w:r>
            <w:r>
              <w:rPr>
                <w:rFonts w:ascii="Times New Roman" w:hAnsi="Times New Roman" w:cs="Times New Roman"/>
                <w:sz w:val="24"/>
                <w:szCs w:val="24"/>
              </w:rPr>
              <w:t xml:space="preserve">за </w:t>
            </w:r>
            <w:r w:rsidRPr="00A1409E">
              <w:rPr>
                <w:rFonts w:ascii="Times New Roman" w:hAnsi="Times New Roman" w:cs="Times New Roman"/>
                <w:sz w:val="24"/>
                <w:szCs w:val="24"/>
              </w:rPr>
              <w:t xml:space="preserve">допълващо финансиране </w:t>
            </w:r>
            <w:r>
              <w:rPr>
                <w:rFonts w:ascii="Times New Roman" w:hAnsi="Times New Roman" w:cs="Times New Roman"/>
                <w:sz w:val="24"/>
                <w:szCs w:val="24"/>
              </w:rPr>
              <w:t>по програма „Конкурентоспособност и иновации в предприятията“.</w:t>
            </w:r>
          </w:p>
        </w:tc>
      </w:tr>
    </w:tbl>
    <w:p w14:paraId="305417B0" w14:textId="77777777" w:rsidR="003935EC" w:rsidRPr="00FB202F" w:rsidRDefault="003935EC" w:rsidP="00044F85">
      <w:pPr>
        <w:widowControl w:val="0"/>
        <w:autoSpaceDE w:val="0"/>
        <w:autoSpaceDN w:val="0"/>
        <w:adjustRightInd w:val="0"/>
        <w:spacing w:after="0"/>
        <w:ind w:firstLine="567"/>
        <w:jc w:val="center"/>
        <w:rPr>
          <w:rFonts w:ascii="Times New Roman" w:eastAsia="Calibri" w:hAnsi="Times New Roman" w:cs="Times New Roman"/>
          <w:b/>
          <w:iCs/>
          <w:sz w:val="24"/>
          <w:szCs w:val="24"/>
        </w:rPr>
      </w:pPr>
    </w:p>
    <w:sectPr w:rsidR="003935EC" w:rsidRPr="00FB202F" w:rsidSect="009F553B">
      <w:headerReference w:type="default" r:id="rId10"/>
      <w:footerReference w:type="default" r:id="rId11"/>
      <w:pgSz w:w="11906" w:h="16838"/>
      <w:pgMar w:top="1417" w:right="70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292CEF" w14:textId="77777777" w:rsidR="002940DA" w:rsidRDefault="002940DA" w:rsidP="0075789F">
      <w:pPr>
        <w:spacing w:after="0" w:line="240" w:lineRule="auto"/>
      </w:pPr>
      <w:r>
        <w:separator/>
      </w:r>
    </w:p>
  </w:endnote>
  <w:endnote w:type="continuationSeparator" w:id="0">
    <w:p w14:paraId="4EA10A50" w14:textId="77777777" w:rsidR="002940DA" w:rsidRDefault="002940DA" w:rsidP="00757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780966"/>
      <w:docPartObj>
        <w:docPartGallery w:val="Page Numbers (Bottom of Page)"/>
        <w:docPartUnique/>
      </w:docPartObj>
    </w:sdtPr>
    <w:sdtEndPr>
      <w:rPr>
        <w:noProof/>
      </w:rPr>
    </w:sdtEndPr>
    <w:sdtContent>
      <w:p w14:paraId="6D50C2C0" w14:textId="48AD15A7" w:rsidR="00DF4B90" w:rsidRDefault="00DF4B90">
        <w:pPr>
          <w:pStyle w:val="Footer"/>
          <w:jc w:val="right"/>
        </w:pPr>
        <w:r>
          <w:fldChar w:fldCharType="begin"/>
        </w:r>
        <w:r>
          <w:instrText xml:space="preserve"> PAGE   \* MERGEFORMAT </w:instrText>
        </w:r>
        <w:r>
          <w:fldChar w:fldCharType="separate"/>
        </w:r>
        <w:r w:rsidR="001E3C11">
          <w:rPr>
            <w:noProof/>
          </w:rPr>
          <w:t>39</w:t>
        </w:r>
        <w:r>
          <w:rPr>
            <w:noProof/>
          </w:rPr>
          <w:fldChar w:fldCharType="end"/>
        </w:r>
      </w:p>
    </w:sdtContent>
  </w:sdt>
  <w:p w14:paraId="1496E52A" w14:textId="77777777" w:rsidR="00DF4B90" w:rsidRDefault="00DF4B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E1C561" w14:textId="77777777" w:rsidR="002940DA" w:rsidRDefault="002940DA" w:rsidP="0075789F">
      <w:pPr>
        <w:spacing w:after="0" w:line="240" w:lineRule="auto"/>
      </w:pPr>
      <w:r>
        <w:separator/>
      </w:r>
    </w:p>
  </w:footnote>
  <w:footnote w:type="continuationSeparator" w:id="0">
    <w:p w14:paraId="355B4118" w14:textId="77777777" w:rsidR="002940DA" w:rsidRDefault="002940DA" w:rsidP="007578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ADC3C" w14:textId="7A521A9E" w:rsidR="00DF4B90" w:rsidRDefault="00DF4B90" w:rsidP="008F329E">
    <w:pPr>
      <w:pStyle w:val="Header"/>
      <w:tabs>
        <w:tab w:val="clear" w:pos="9072"/>
        <w:tab w:val="left" w:pos="6612"/>
      </w:tabs>
      <w:rPr>
        <w:noProof/>
        <w:lang w:val="bg-BG" w:eastAsia="bg-BG"/>
      </w:rPr>
    </w:pPr>
    <w:r>
      <w:rPr>
        <w:noProof/>
        <w:lang w:val="bg-BG" w:eastAsia="bg-BG"/>
      </w:rPr>
      <w:t xml:space="preserve"> </w:t>
    </w:r>
    <w:r>
      <w:rPr>
        <w:noProof/>
        <w:lang w:eastAsia="en-GB"/>
      </w:rPr>
      <w:drawing>
        <wp:inline distT="0" distB="0" distL="0" distR="0" wp14:anchorId="236FC73C" wp14:editId="2965E0B4">
          <wp:extent cx="2200017" cy="47166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9995" cy="512389"/>
                  </a:xfrm>
                  <a:prstGeom prst="rect">
                    <a:avLst/>
                  </a:prstGeom>
                  <a:noFill/>
                </pic:spPr>
              </pic:pic>
            </a:graphicData>
          </a:graphic>
        </wp:inline>
      </w:drawing>
    </w:r>
    <w:r>
      <w:rPr>
        <w:noProof/>
        <w:lang w:val="bg-BG" w:eastAsia="bg-BG"/>
      </w:rPr>
      <w:tab/>
      <w:t xml:space="preserve">                                     </w:t>
    </w:r>
    <w:r>
      <w:rPr>
        <w:noProof/>
        <w:lang w:eastAsia="en-GB"/>
      </w:rPr>
      <w:drawing>
        <wp:inline distT="0" distB="0" distL="0" distR="0" wp14:anchorId="7D842388" wp14:editId="0435DD3D">
          <wp:extent cx="2125980" cy="489311"/>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74178" cy="500404"/>
                  </a:xfrm>
                  <a:prstGeom prst="rect">
                    <a:avLst/>
                  </a:prstGeom>
                  <a:noFill/>
                </pic:spPr>
              </pic:pic>
            </a:graphicData>
          </a:graphic>
        </wp:inline>
      </w:drawing>
    </w:r>
  </w:p>
  <w:p w14:paraId="25C02C0A" w14:textId="7126946C" w:rsidR="00DF4B90" w:rsidRPr="003F42F9" w:rsidRDefault="00DF4B90">
    <w:pPr>
      <w:pStyle w:val="Header"/>
      <w:rPr>
        <w:lang w:val="bg-BG"/>
      </w:rPr>
    </w:pPr>
    <w:r>
      <w:rPr>
        <w:noProof/>
        <w:lang w:val="bg-BG" w:eastAsia="bg-BG"/>
      </w:rPr>
      <w:tab/>
      <w:t xml:space="preserve"> </w:t>
    </w:r>
    <w:r>
      <w:rPr>
        <w:lang w:val="bg-BG"/>
      </w:rPr>
      <w:t xml:space="preserve"> </w:t>
    </w:r>
    <w:r>
      <w:rPr>
        <w:noProof/>
        <w:lang w:val="bg-BG" w:eastAsia="bg-BG"/>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6A7D"/>
    <w:multiLevelType w:val="hybridMultilevel"/>
    <w:tmpl w:val="4948A450"/>
    <w:lvl w:ilvl="0" w:tplc="0409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3B15466"/>
    <w:multiLevelType w:val="hybridMultilevel"/>
    <w:tmpl w:val="372C17BE"/>
    <w:lvl w:ilvl="0" w:tplc="04020001">
      <w:start w:val="1"/>
      <w:numFmt w:val="bullet"/>
      <w:lvlText w:val=""/>
      <w:lvlJc w:val="left"/>
      <w:pPr>
        <w:ind w:left="754" w:hanging="360"/>
      </w:pPr>
      <w:rPr>
        <w:rFonts w:ascii="Symbol" w:hAnsi="Symbol" w:hint="default"/>
      </w:rPr>
    </w:lvl>
    <w:lvl w:ilvl="1" w:tplc="04020003">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2">
    <w:nsid w:val="08AB367A"/>
    <w:multiLevelType w:val="hybridMultilevel"/>
    <w:tmpl w:val="478422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2241D8B"/>
    <w:multiLevelType w:val="hybridMultilevel"/>
    <w:tmpl w:val="7A4405CA"/>
    <w:lvl w:ilvl="0" w:tplc="2D7C62F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4745E54"/>
    <w:multiLevelType w:val="hybridMultilevel"/>
    <w:tmpl w:val="FEEEB00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94479F6"/>
    <w:multiLevelType w:val="hybridMultilevel"/>
    <w:tmpl w:val="2C066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C9728E"/>
    <w:multiLevelType w:val="hybridMultilevel"/>
    <w:tmpl w:val="237E0D2C"/>
    <w:lvl w:ilvl="0" w:tplc="50FA19F8">
      <w:numFmt w:val="bullet"/>
      <w:lvlText w:val="-"/>
      <w:lvlJc w:val="left"/>
      <w:pPr>
        <w:ind w:left="754" w:hanging="360"/>
      </w:pPr>
      <w:rPr>
        <w:rFonts w:ascii="Times New Roman" w:eastAsiaTheme="minorHAnsi" w:hAnsi="Times New Roman" w:cs="Times New Roman" w:hint="default"/>
      </w:rPr>
    </w:lvl>
    <w:lvl w:ilvl="1" w:tplc="08090003">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7">
    <w:nsid w:val="1B524A5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7D9A"/>
    <w:multiLevelType w:val="hybridMultilevel"/>
    <w:tmpl w:val="B1129AC0"/>
    <w:lvl w:ilvl="0" w:tplc="0402000D">
      <w:start w:val="1"/>
      <w:numFmt w:val="bullet"/>
      <w:lvlText w:val=""/>
      <w:lvlJc w:val="left"/>
      <w:pPr>
        <w:ind w:left="1467" w:hanging="360"/>
      </w:pPr>
      <w:rPr>
        <w:rFonts w:ascii="Wingdings" w:hAnsi="Wingdings" w:hint="default"/>
      </w:rPr>
    </w:lvl>
    <w:lvl w:ilvl="1" w:tplc="04020003" w:tentative="1">
      <w:start w:val="1"/>
      <w:numFmt w:val="bullet"/>
      <w:lvlText w:val="o"/>
      <w:lvlJc w:val="left"/>
      <w:pPr>
        <w:ind w:left="2187" w:hanging="360"/>
      </w:pPr>
      <w:rPr>
        <w:rFonts w:ascii="Courier New" w:hAnsi="Courier New" w:cs="Courier New" w:hint="default"/>
      </w:rPr>
    </w:lvl>
    <w:lvl w:ilvl="2" w:tplc="04020005" w:tentative="1">
      <w:start w:val="1"/>
      <w:numFmt w:val="bullet"/>
      <w:lvlText w:val=""/>
      <w:lvlJc w:val="left"/>
      <w:pPr>
        <w:ind w:left="2907" w:hanging="360"/>
      </w:pPr>
      <w:rPr>
        <w:rFonts w:ascii="Wingdings" w:hAnsi="Wingdings" w:hint="default"/>
      </w:rPr>
    </w:lvl>
    <w:lvl w:ilvl="3" w:tplc="04020001" w:tentative="1">
      <w:start w:val="1"/>
      <w:numFmt w:val="bullet"/>
      <w:lvlText w:val=""/>
      <w:lvlJc w:val="left"/>
      <w:pPr>
        <w:ind w:left="3627" w:hanging="360"/>
      </w:pPr>
      <w:rPr>
        <w:rFonts w:ascii="Symbol" w:hAnsi="Symbol" w:hint="default"/>
      </w:rPr>
    </w:lvl>
    <w:lvl w:ilvl="4" w:tplc="04020003" w:tentative="1">
      <w:start w:val="1"/>
      <w:numFmt w:val="bullet"/>
      <w:lvlText w:val="o"/>
      <w:lvlJc w:val="left"/>
      <w:pPr>
        <w:ind w:left="4347" w:hanging="360"/>
      </w:pPr>
      <w:rPr>
        <w:rFonts w:ascii="Courier New" w:hAnsi="Courier New" w:cs="Courier New" w:hint="default"/>
      </w:rPr>
    </w:lvl>
    <w:lvl w:ilvl="5" w:tplc="04020005" w:tentative="1">
      <w:start w:val="1"/>
      <w:numFmt w:val="bullet"/>
      <w:lvlText w:val=""/>
      <w:lvlJc w:val="left"/>
      <w:pPr>
        <w:ind w:left="5067" w:hanging="360"/>
      </w:pPr>
      <w:rPr>
        <w:rFonts w:ascii="Wingdings" w:hAnsi="Wingdings" w:hint="default"/>
      </w:rPr>
    </w:lvl>
    <w:lvl w:ilvl="6" w:tplc="04020001" w:tentative="1">
      <w:start w:val="1"/>
      <w:numFmt w:val="bullet"/>
      <w:lvlText w:val=""/>
      <w:lvlJc w:val="left"/>
      <w:pPr>
        <w:ind w:left="5787" w:hanging="360"/>
      </w:pPr>
      <w:rPr>
        <w:rFonts w:ascii="Symbol" w:hAnsi="Symbol" w:hint="default"/>
      </w:rPr>
    </w:lvl>
    <w:lvl w:ilvl="7" w:tplc="04020003" w:tentative="1">
      <w:start w:val="1"/>
      <w:numFmt w:val="bullet"/>
      <w:lvlText w:val="o"/>
      <w:lvlJc w:val="left"/>
      <w:pPr>
        <w:ind w:left="6507" w:hanging="360"/>
      </w:pPr>
      <w:rPr>
        <w:rFonts w:ascii="Courier New" w:hAnsi="Courier New" w:cs="Courier New" w:hint="default"/>
      </w:rPr>
    </w:lvl>
    <w:lvl w:ilvl="8" w:tplc="04020005" w:tentative="1">
      <w:start w:val="1"/>
      <w:numFmt w:val="bullet"/>
      <w:lvlText w:val=""/>
      <w:lvlJc w:val="left"/>
      <w:pPr>
        <w:ind w:left="7227" w:hanging="360"/>
      </w:pPr>
      <w:rPr>
        <w:rFonts w:ascii="Wingdings" w:hAnsi="Wingdings" w:hint="default"/>
      </w:rPr>
    </w:lvl>
  </w:abstractNum>
  <w:abstractNum w:abstractNumId="9">
    <w:nsid w:val="228E5697"/>
    <w:multiLevelType w:val="hybridMultilevel"/>
    <w:tmpl w:val="40849450"/>
    <w:lvl w:ilvl="0" w:tplc="0809000D">
      <w:start w:val="1"/>
      <w:numFmt w:val="bullet"/>
      <w:lvlText w:val=""/>
      <w:lvlJc w:val="left"/>
      <w:pPr>
        <w:ind w:left="1069" w:hanging="360"/>
      </w:pPr>
      <w:rPr>
        <w:rFonts w:ascii="Wingdings" w:hAnsi="Wingdings" w:hint="default"/>
        <w:sz w:val="24"/>
        <w:szCs w:val="24"/>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nsid w:val="25F025A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584100"/>
    <w:multiLevelType w:val="hybridMultilevel"/>
    <w:tmpl w:val="A2EA5FDE"/>
    <w:lvl w:ilvl="0" w:tplc="50FA19F8">
      <w:numFmt w:val="bullet"/>
      <w:lvlText w:val="-"/>
      <w:lvlJc w:val="left"/>
      <w:pPr>
        <w:ind w:left="754" w:hanging="360"/>
      </w:pPr>
      <w:rPr>
        <w:rFonts w:ascii="Times New Roman" w:eastAsiaTheme="minorHAnsi" w:hAnsi="Times New Roman" w:cs="Times New Roman" w:hint="default"/>
      </w:rPr>
    </w:lvl>
    <w:lvl w:ilvl="1" w:tplc="50FA19F8">
      <w:numFmt w:val="bullet"/>
      <w:lvlText w:val="-"/>
      <w:lvlJc w:val="left"/>
      <w:pPr>
        <w:ind w:left="1474" w:hanging="360"/>
      </w:pPr>
      <w:rPr>
        <w:rFonts w:ascii="Times New Roman" w:eastAsiaTheme="minorHAnsi" w:hAnsi="Times New Roman" w:cs="Times New Roman"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2">
    <w:nsid w:val="29E85499"/>
    <w:multiLevelType w:val="hybridMultilevel"/>
    <w:tmpl w:val="FB5822E6"/>
    <w:lvl w:ilvl="0" w:tplc="79401B56">
      <w:numFmt w:val="bullet"/>
      <w:lvlText w:val="-"/>
      <w:lvlJc w:val="left"/>
      <w:pPr>
        <w:ind w:left="394" w:hanging="360"/>
      </w:pPr>
      <w:rPr>
        <w:rFonts w:ascii="Times New Roman" w:eastAsiaTheme="minorHAnsi" w:hAnsi="Times New Roman" w:cs="Times New Roman" w:hint="default"/>
      </w:rPr>
    </w:lvl>
    <w:lvl w:ilvl="1" w:tplc="04020003" w:tentative="1">
      <w:start w:val="1"/>
      <w:numFmt w:val="bullet"/>
      <w:lvlText w:val="o"/>
      <w:lvlJc w:val="left"/>
      <w:pPr>
        <w:ind w:left="1114" w:hanging="360"/>
      </w:pPr>
      <w:rPr>
        <w:rFonts w:ascii="Courier New" w:hAnsi="Courier New" w:cs="Courier New" w:hint="default"/>
      </w:rPr>
    </w:lvl>
    <w:lvl w:ilvl="2" w:tplc="04020005" w:tentative="1">
      <w:start w:val="1"/>
      <w:numFmt w:val="bullet"/>
      <w:lvlText w:val=""/>
      <w:lvlJc w:val="left"/>
      <w:pPr>
        <w:ind w:left="1834" w:hanging="360"/>
      </w:pPr>
      <w:rPr>
        <w:rFonts w:ascii="Wingdings" w:hAnsi="Wingdings" w:hint="default"/>
      </w:rPr>
    </w:lvl>
    <w:lvl w:ilvl="3" w:tplc="04020001" w:tentative="1">
      <w:start w:val="1"/>
      <w:numFmt w:val="bullet"/>
      <w:lvlText w:val=""/>
      <w:lvlJc w:val="left"/>
      <w:pPr>
        <w:ind w:left="2554" w:hanging="360"/>
      </w:pPr>
      <w:rPr>
        <w:rFonts w:ascii="Symbol" w:hAnsi="Symbol" w:hint="default"/>
      </w:rPr>
    </w:lvl>
    <w:lvl w:ilvl="4" w:tplc="04020003" w:tentative="1">
      <w:start w:val="1"/>
      <w:numFmt w:val="bullet"/>
      <w:lvlText w:val="o"/>
      <w:lvlJc w:val="left"/>
      <w:pPr>
        <w:ind w:left="3274" w:hanging="360"/>
      </w:pPr>
      <w:rPr>
        <w:rFonts w:ascii="Courier New" w:hAnsi="Courier New" w:cs="Courier New" w:hint="default"/>
      </w:rPr>
    </w:lvl>
    <w:lvl w:ilvl="5" w:tplc="04020005" w:tentative="1">
      <w:start w:val="1"/>
      <w:numFmt w:val="bullet"/>
      <w:lvlText w:val=""/>
      <w:lvlJc w:val="left"/>
      <w:pPr>
        <w:ind w:left="3994" w:hanging="360"/>
      </w:pPr>
      <w:rPr>
        <w:rFonts w:ascii="Wingdings" w:hAnsi="Wingdings" w:hint="default"/>
      </w:rPr>
    </w:lvl>
    <w:lvl w:ilvl="6" w:tplc="04020001" w:tentative="1">
      <w:start w:val="1"/>
      <w:numFmt w:val="bullet"/>
      <w:lvlText w:val=""/>
      <w:lvlJc w:val="left"/>
      <w:pPr>
        <w:ind w:left="4714" w:hanging="360"/>
      </w:pPr>
      <w:rPr>
        <w:rFonts w:ascii="Symbol" w:hAnsi="Symbol" w:hint="default"/>
      </w:rPr>
    </w:lvl>
    <w:lvl w:ilvl="7" w:tplc="04020003" w:tentative="1">
      <w:start w:val="1"/>
      <w:numFmt w:val="bullet"/>
      <w:lvlText w:val="o"/>
      <w:lvlJc w:val="left"/>
      <w:pPr>
        <w:ind w:left="5434" w:hanging="360"/>
      </w:pPr>
      <w:rPr>
        <w:rFonts w:ascii="Courier New" w:hAnsi="Courier New" w:cs="Courier New" w:hint="default"/>
      </w:rPr>
    </w:lvl>
    <w:lvl w:ilvl="8" w:tplc="04020005" w:tentative="1">
      <w:start w:val="1"/>
      <w:numFmt w:val="bullet"/>
      <w:lvlText w:val=""/>
      <w:lvlJc w:val="left"/>
      <w:pPr>
        <w:ind w:left="6154" w:hanging="360"/>
      </w:pPr>
      <w:rPr>
        <w:rFonts w:ascii="Wingdings" w:hAnsi="Wingdings" w:hint="default"/>
      </w:rPr>
    </w:lvl>
  </w:abstractNum>
  <w:abstractNum w:abstractNumId="13">
    <w:nsid w:val="2B2022A7"/>
    <w:multiLevelType w:val="hybridMultilevel"/>
    <w:tmpl w:val="11B6F320"/>
    <w:lvl w:ilvl="0" w:tplc="0409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4">
    <w:nsid w:val="314023C0"/>
    <w:multiLevelType w:val="hybridMultilevel"/>
    <w:tmpl w:val="603667CA"/>
    <w:lvl w:ilvl="0" w:tplc="0809000D">
      <w:start w:val="1"/>
      <w:numFmt w:val="bullet"/>
      <w:lvlText w:val=""/>
      <w:lvlJc w:val="left"/>
      <w:pPr>
        <w:ind w:left="1069" w:hanging="360"/>
      </w:pPr>
      <w:rPr>
        <w:rFonts w:ascii="Wingdings" w:hAnsi="Wingdings" w:hint="default"/>
        <w:sz w:val="24"/>
        <w:szCs w:val="24"/>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372378AB"/>
    <w:multiLevelType w:val="hybridMultilevel"/>
    <w:tmpl w:val="65DE9220"/>
    <w:lvl w:ilvl="0" w:tplc="F08A7E00">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37F57668"/>
    <w:multiLevelType w:val="hybridMultilevel"/>
    <w:tmpl w:val="5FAA761E"/>
    <w:lvl w:ilvl="0" w:tplc="E084D312">
      <w:start w:val="1"/>
      <w:numFmt w:val="decimal"/>
      <w:lvlText w:val="%1."/>
      <w:lvlJc w:val="left"/>
      <w:pPr>
        <w:ind w:left="1069" w:hanging="360"/>
      </w:pPr>
      <w:rPr>
        <w:rFonts w:ascii="Times New Roman" w:hAnsi="Times New Roman" w:cs="Times New Roman" w:hint="default"/>
        <w:i w:val="0"/>
        <w:sz w:val="24"/>
        <w:szCs w:val="24"/>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7">
    <w:nsid w:val="3CAB23E5"/>
    <w:multiLevelType w:val="hybridMultilevel"/>
    <w:tmpl w:val="86F00EA4"/>
    <w:lvl w:ilvl="0" w:tplc="0409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8">
    <w:nsid w:val="3CDB56E7"/>
    <w:multiLevelType w:val="multilevel"/>
    <w:tmpl w:val="6C9C1952"/>
    <w:lvl w:ilvl="0">
      <w:start w:val="1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nsid w:val="3E796CCD"/>
    <w:multiLevelType w:val="hybridMultilevel"/>
    <w:tmpl w:val="511E4070"/>
    <w:lvl w:ilvl="0" w:tplc="04020001">
      <w:start w:val="1"/>
      <w:numFmt w:val="bullet"/>
      <w:lvlText w:val=""/>
      <w:lvlJc w:val="left"/>
      <w:pPr>
        <w:ind w:left="778" w:hanging="360"/>
      </w:pPr>
      <w:rPr>
        <w:rFonts w:ascii="Symbol" w:hAnsi="Symbol" w:hint="default"/>
      </w:rPr>
    </w:lvl>
    <w:lvl w:ilvl="1" w:tplc="7638D958">
      <w:numFmt w:val="bullet"/>
      <w:lvlText w:val="•"/>
      <w:lvlJc w:val="left"/>
      <w:pPr>
        <w:ind w:left="1813" w:hanging="675"/>
      </w:pPr>
      <w:rPr>
        <w:rFonts w:ascii="Times New Roman" w:eastAsiaTheme="minorHAnsi" w:hAnsi="Times New Roman" w:cs="Times New Roman" w:hint="default"/>
      </w:rPr>
    </w:lvl>
    <w:lvl w:ilvl="2" w:tplc="04020005" w:tentative="1">
      <w:start w:val="1"/>
      <w:numFmt w:val="bullet"/>
      <w:lvlText w:val=""/>
      <w:lvlJc w:val="left"/>
      <w:pPr>
        <w:ind w:left="2218" w:hanging="360"/>
      </w:pPr>
      <w:rPr>
        <w:rFonts w:ascii="Wingdings" w:hAnsi="Wingdings" w:hint="default"/>
      </w:rPr>
    </w:lvl>
    <w:lvl w:ilvl="3" w:tplc="04020001" w:tentative="1">
      <w:start w:val="1"/>
      <w:numFmt w:val="bullet"/>
      <w:lvlText w:val=""/>
      <w:lvlJc w:val="left"/>
      <w:pPr>
        <w:ind w:left="2938" w:hanging="360"/>
      </w:pPr>
      <w:rPr>
        <w:rFonts w:ascii="Symbol" w:hAnsi="Symbol" w:hint="default"/>
      </w:rPr>
    </w:lvl>
    <w:lvl w:ilvl="4" w:tplc="04020003" w:tentative="1">
      <w:start w:val="1"/>
      <w:numFmt w:val="bullet"/>
      <w:lvlText w:val="o"/>
      <w:lvlJc w:val="left"/>
      <w:pPr>
        <w:ind w:left="3658" w:hanging="360"/>
      </w:pPr>
      <w:rPr>
        <w:rFonts w:ascii="Courier New" w:hAnsi="Courier New" w:cs="Courier New" w:hint="default"/>
      </w:rPr>
    </w:lvl>
    <w:lvl w:ilvl="5" w:tplc="04020005" w:tentative="1">
      <w:start w:val="1"/>
      <w:numFmt w:val="bullet"/>
      <w:lvlText w:val=""/>
      <w:lvlJc w:val="left"/>
      <w:pPr>
        <w:ind w:left="4378" w:hanging="360"/>
      </w:pPr>
      <w:rPr>
        <w:rFonts w:ascii="Wingdings" w:hAnsi="Wingdings" w:hint="default"/>
      </w:rPr>
    </w:lvl>
    <w:lvl w:ilvl="6" w:tplc="04020001" w:tentative="1">
      <w:start w:val="1"/>
      <w:numFmt w:val="bullet"/>
      <w:lvlText w:val=""/>
      <w:lvlJc w:val="left"/>
      <w:pPr>
        <w:ind w:left="5098" w:hanging="360"/>
      </w:pPr>
      <w:rPr>
        <w:rFonts w:ascii="Symbol" w:hAnsi="Symbol" w:hint="default"/>
      </w:rPr>
    </w:lvl>
    <w:lvl w:ilvl="7" w:tplc="04020003" w:tentative="1">
      <w:start w:val="1"/>
      <w:numFmt w:val="bullet"/>
      <w:lvlText w:val="o"/>
      <w:lvlJc w:val="left"/>
      <w:pPr>
        <w:ind w:left="5818" w:hanging="360"/>
      </w:pPr>
      <w:rPr>
        <w:rFonts w:ascii="Courier New" w:hAnsi="Courier New" w:cs="Courier New" w:hint="default"/>
      </w:rPr>
    </w:lvl>
    <w:lvl w:ilvl="8" w:tplc="04020005" w:tentative="1">
      <w:start w:val="1"/>
      <w:numFmt w:val="bullet"/>
      <w:lvlText w:val=""/>
      <w:lvlJc w:val="left"/>
      <w:pPr>
        <w:ind w:left="6538" w:hanging="360"/>
      </w:pPr>
      <w:rPr>
        <w:rFonts w:ascii="Wingdings" w:hAnsi="Wingdings" w:hint="default"/>
      </w:rPr>
    </w:lvl>
  </w:abstractNum>
  <w:abstractNum w:abstractNumId="20">
    <w:nsid w:val="447E497B"/>
    <w:multiLevelType w:val="multilevel"/>
    <w:tmpl w:val="8FF2BEB4"/>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21">
    <w:nsid w:val="45116922"/>
    <w:multiLevelType w:val="hybridMultilevel"/>
    <w:tmpl w:val="7AE8A2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70726FB"/>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F0358ED"/>
    <w:multiLevelType w:val="multilevel"/>
    <w:tmpl w:val="8DAA52E0"/>
    <w:lvl w:ilvl="0">
      <w:start w:val="11"/>
      <w:numFmt w:val="decimal"/>
      <w:lvlText w:val="%1."/>
      <w:lvlJc w:val="left"/>
      <w:pPr>
        <w:ind w:left="660" w:hanging="660"/>
      </w:pPr>
      <w:rPr>
        <w:rFonts w:ascii="Times New Roman" w:hAnsi="Times New Roman" w:cs="Times New Roman" w:hint="default"/>
        <w:sz w:val="24"/>
      </w:rPr>
    </w:lvl>
    <w:lvl w:ilvl="1">
      <w:start w:val="1"/>
      <w:numFmt w:val="decimal"/>
      <w:lvlText w:val="%1.%2."/>
      <w:lvlJc w:val="left"/>
      <w:pPr>
        <w:ind w:left="660" w:hanging="660"/>
      </w:pPr>
      <w:rPr>
        <w:rFonts w:ascii="Times New Roman" w:hAnsi="Times New Roman" w:cs="Times New Roman" w:hint="default"/>
        <w:sz w:val="24"/>
      </w:rPr>
    </w:lvl>
    <w:lvl w:ilvl="2">
      <w:start w:val="3"/>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4">
    <w:nsid w:val="51847B02"/>
    <w:multiLevelType w:val="hybridMultilevel"/>
    <w:tmpl w:val="5E2665E6"/>
    <w:lvl w:ilvl="0" w:tplc="0402000F">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5">
    <w:nsid w:val="524205EC"/>
    <w:multiLevelType w:val="hybridMultilevel"/>
    <w:tmpl w:val="A9DCDB8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57C48A0"/>
    <w:multiLevelType w:val="hybridMultilevel"/>
    <w:tmpl w:val="CA42F25A"/>
    <w:lvl w:ilvl="0" w:tplc="04020005">
      <w:start w:val="1"/>
      <w:numFmt w:val="bullet"/>
      <w:lvlText w:val=""/>
      <w:lvlJc w:val="left"/>
      <w:pPr>
        <w:ind w:left="1467" w:hanging="360"/>
      </w:pPr>
      <w:rPr>
        <w:rFonts w:ascii="Wingdings" w:hAnsi="Wingdings" w:hint="default"/>
      </w:rPr>
    </w:lvl>
    <w:lvl w:ilvl="1" w:tplc="04020003" w:tentative="1">
      <w:start w:val="1"/>
      <w:numFmt w:val="bullet"/>
      <w:lvlText w:val="o"/>
      <w:lvlJc w:val="left"/>
      <w:pPr>
        <w:ind w:left="2187" w:hanging="360"/>
      </w:pPr>
      <w:rPr>
        <w:rFonts w:ascii="Courier New" w:hAnsi="Courier New" w:cs="Courier New" w:hint="default"/>
      </w:rPr>
    </w:lvl>
    <w:lvl w:ilvl="2" w:tplc="04020005" w:tentative="1">
      <w:start w:val="1"/>
      <w:numFmt w:val="bullet"/>
      <w:lvlText w:val=""/>
      <w:lvlJc w:val="left"/>
      <w:pPr>
        <w:ind w:left="2907" w:hanging="360"/>
      </w:pPr>
      <w:rPr>
        <w:rFonts w:ascii="Wingdings" w:hAnsi="Wingdings" w:hint="default"/>
      </w:rPr>
    </w:lvl>
    <w:lvl w:ilvl="3" w:tplc="04020001" w:tentative="1">
      <w:start w:val="1"/>
      <w:numFmt w:val="bullet"/>
      <w:lvlText w:val=""/>
      <w:lvlJc w:val="left"/>
      <w:pPr>
        <w:ind w:left="3627" w:hanging="360"/>
      </w:pPr>
      <w:rPr>
        <w:rFonts w:ascii="Symbol" w:hAnsi="Symbol" w:hint="default"/>
      </w:rPr>
    </w:lvl>
    <w:lvl w:ilvl="4" w:tplc="04020003" w:tentative="1">
      <w:start w:val="1"/>
      <w:numFmt w:val="bullet"/>
      <w:lvlText w:val="o"/>
      <w:lvlJc w:val="left"/>
      <w:pPr>
        <w:ind w:left="4347" w:hanging="360"/>
      </w:pPr>
      <w:rPr>
        <w:rFonts w:ascii="Courier New" w:hAnsi="Courier New" w:cs="Courier New" w:hint="default"/>
      </w:rPr>
    </w:lvl>
    <w:lvl w:ilvl="5" w:tplc="04020005" w:tentative="1">
      <w:start w:val="1"/>
      <w:numFmt w:val="bullet"/>
      <w:lvlText w:val=""/>
      <w:lvlJc w:val="left"/>
      <w:pPr>
        <w:ind w:left="5067" w:hanging="360"/>
      </w:pPr>
      <w:rPr>
        <w:rFonts w:ascii="Wingdings" w:hAnsi="Wingdings" w:hint="default"/>
      </w:rPr>
    </w:lvl>
    <w:lvl w:ilvl="6" w:tplc="04020001" w:tentative="1">
      <w:start w:val="1"/>
      <w:numFmt w:val="bullet"/>
      <w:lvlText w:val=""/>
      <w:lvlJc w:val="left"/>
      <w:pPr>
        <w:ind w:left="5787" w:hanging="360"/>
      </w:pPr>
      <w:rPr>
        <w:rFonts w:ascii="Symbol" w:hAnsi="Symbol" w:hint="default"/>
      </w:rPr>
    </w:lvl>
    <w:lvl w:ilvl="7" w:tplc="04020003" w:tentative="1">
      <w:start w:val="1"/>
      <w:numFmt w:val="bullet"/>
      <w:lvlText w:val="o"/>
      <w:lvlJc w:val="left"/>
      <w:pPr>
        <w:ind w:left="6507" w:hanging="360"/>
      </w:pPr>
      <w:rPr>
        <w:rFonts w:ascii="Courier New" w:hAnsi="Courier New" w:cs="Courier New" w:hint="default"/>
      </w:rPr>
    </w:lvl>
    <w:lvl w:ilvl="8" w:tplc="04020005" w:tentative="1">
      <w:start w:val="1"/>
      <w:numFmt w:val="bullet"/>
      <w:lvlText w:val=""/>
      <w:lvlJc w:val="left"/>
      <w:pPr>
        <w:ind w:left="7227" w:hanging="360"/>
      </w:pPr>
      <w:rPr>
        <w:rFonts w:ascii="Wingdings" w:hAnsi="Wingdings" w:hint="default"/>
      </w:rPr>
    </w:lvl>
  </w:abstractNum>
  <w:abstractNum w:abstractNumId="27">
    <w:nsid w:val="5B214AF5"/>
    <w:multiLevelType w:val="hybridMultilevel"/>
    <w:tmpl w:val="0B02AC76"/>
    <w:lvl w:ilvl="0" w:tplc="0409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B993B26"/>
    <w:multiLevelType w:val="multilevel"/>
    <w:tmpl w:val="E72E942E"/>
    <w:lvl w:ilvl="0">
      <w:start w:val="13"/>
      <w:numFmt w:val="decimal"/>
      <w:lvlText w:val="%1."/>
      <w:lvlJc w:val="left"/>
      <w:pPr>
        <w:ind w:left="660" w:hanging="660"/>
      </w:pPr>
      <w:rPr>
        <w:rFonts w:hint="default"/>
      </w:rPr>
    </w:lvl>
    <w:lvl w:ilvl="1">
      <w:start w:val="2"/>
      <w:numFmt w:val="decimal"/>
      <w:lvlText w:val="%1.%2."/>
      <w:lvlJc w:val="left"/>
      <w:pPr>
        <w:ind w:left="990" w:hanging="660"/>
      </w:pPr>
      <w:rPr>
        <w:rFonts w:hint="default"/>
      </w:rPr>
    </w:lvl>
    <w:lvl w:ilvl="2">
      <w:start w:val="2"/>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9">
    <w:nsid w:val="67FC74A0"/>
    <w:multiLevelType w:val="multilevel"/>
    <w:tmpl w:val="DE60C2E0"/>
    <w:lvl w:ilvl="0">
      <w:start w:val="13"/>
      <w:numFmt w:val="decimal"/>
      <w:lvlText w:val="%1."/>
      <w:lvlJc w:val="left"/>
      <w:pPr>
        <w:ind w:left="660" w:hanging="660"/>
      </w:pPr>
      <w:rPr>
        <w:rFonts w:hint="default"/>
      </w:rPr>
    </w:lvl>
    <w:lvl w:ilvl="1">
      <w:start w:val="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9FE786B"/>
    <w:multiLevelType w:val="hybridMultilevel"/>
    <w:tmpl w:val="1CF68F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6D800371"/>
    <w:multiLevelType w:val="hybridMultilevel"/>
    <w:tmpl w:val="186C2E44"/>
    <w:lvl w:ilvl="0" w:tplc="2AC430A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52D15A6"/>
    <w:multiLevelType w:val="hybridMultilevel"/>
    <w:tmpl w:val="8094467C"/>
    <w:lvl w:ilvl="0" w:tplc="04020001">
      <w:start w:val="1"/>
      <w:numFmt w:val="bullet"/>
      <w:lvlText w:val=""/>
      <w:lvlJc w:val="left"/>
      <w:pPr>
        <w:ind w:left="754" w:hanging="360"/>
      </w:pPr>
      <w:rPr>
        <w:rFonts w:ascii="Symbol" w:hAnsi="Symbol" w:hint="default"/>
      </w:rPr>
    </w:lvl>
    <w:lvl w:ilvl="1" w:tplc="50FA19F8">
      <w:numFmt w:val="bullet"/>
      <w:lvlText w:val="-"/>
      <w:lvlJc w:val="left"/>
      <w:pPr>
        <w:ind w:left="1474" w:hanging="360"/>
      </w:pPr>
      <w:rPr>
        <w:rFonts w:ascii="Times New Roman" w:eastAsiaTheme="minorHAnsi" w:hAnsi="Times New Roman" w:cs="Times New Roman"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33">
    <w:nsid w:val="76574AB1"/>
    <w:multiLevelType w:val="multilevel"/>
    <w:tmpl w:val="21D8CE62"/>
    <w:lvl w:ilvl="0">
      <w:start w:val="13"/>
      <w:numFmt w:val="decimal"/>
      <w:lvlText w:val="%1."/>
      <w:lvlJc w:val="left"/>
      <w:pPr>
        <w:ind w:left="660" w:hanging="660"/>
      </w:pPr>
      <w:rPr>
        <w:rFonts w:hint="default"/>
        <w:b/>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AC9429F"/>
    <w:multiLevelType w:val="hybridMultilevel"/>
    <w:tmpl w:val="6C36C998"/>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0"/>
  </w:num>
  <w:num w:numId="2">
    <w:abstractNumId w:val="5"/>
  </w:num>
  <w:num w:numId="3">
    <w:abstractNumId w:val="32"/>
  </w:num>
  <w:num w:numId="4">
    <w:abstractNumId w:val="12"/>
  </w:num>
  <w:num w:numId="5">
    <w:abstractNumId w:val="25"/>
  </w:num>
  <w:num w:numId="6">
    <w:abstractNumId w:val="1"/>
  </w:num>
  <w:num w:numId="7">
    <w:abstractNumId w:val="19"/>
  </w:num>
  <w:num w:numId="8">
    <w:abstractNumId w:val="24"/>
  </w:num>
  <w:num w:numId="9">
    <w:abstractNumId w:val="4"/>
  </w:num>
  <w:num w:numId="10">
    <w:abstractNumId w:val="26"/>
  </w:num>
  <w:num w:numId="11">
    <w:abstractNumId w:val="16"/>
  </w:num>
  <w:num w:numId="12">
    <w:abstractNumId w:val="9"/>
  </w:num>
  <w:num w:numId="13">
    <w:abstractNumId w:val="14"/>
  </w:num>
  <w:num w:numId="14">
    <w:abstractNumId w:val="8"/>
  </w:num>
  <w:num w:numId="15">
    <w:abstractNumId w:val="6"/>
  </w:num>
  <w:num w:numId="16">
    <w:abstractNumId w:val="11"/>
  </w:num>
  <w:num w:numId="17">
    <w:abstractNumId w:val="15"/>
  </w:num>
  <w:num w:numId="18">
    <w:abstractNumId w:val="3"/>
  </w:num>
  <w:num w:numId="19">
    <w:abstractNumId w:val="31"/>
  </w:num>
  <w:num w:numId="20">
    <w:abstractNumId w:val="7"/>
  </w:num>
  <w:num w:numId="21">
    <w:abstractNumId w:val="34"/>
  </w:num>
  <w:num w:numId="22">
    <w:abstractNumId w:val="2"/>
  </w:num>
  <w:num w:numId="23">
    <w:abstractNumId w:val="21"/>
  </w:num>
  <w:num w:numId="24">
    <w:abstractNumId w:val="30"/>
  </w:num>
  <w:num w:numId="25">
    <w:abstractNumId w:val="23"/>
  </w:num>
  <w:num w:numId="26">
    <w:abstractNumId w:val="29"/>
  </w:num>
  <w:num w:numId="27">
    <w:abstractNumId w:val="18"/>
  </w:num>
  <w:num w:numId="28">
    <w:abstractNumId w:val="33"/>
  </w:num>
  <w:num w:numId="29">
    <w:abstractNumId w:val="22"/>
  </w:num>
  <w:num w:numId="30">
    <w:abstractNumId w:val="10"/>
  </w:num>
  <w:num w:numId="31">
    <w:abstractNumId w:val="27"/>
  </w:num>
  <w:num w:numId="32">
    <w:abstractNumId w:val="0"/>
  </w:num>
  <w:num w:numId="33">
    <w:abstractNumId w:val="28"/>
  </w:num>
  <w:num w:numId="34">
    <w:abstractNumId w:val="13"/>
  </w:num>
  <w:num w:numId="35">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oNotDisplayPageBoundarie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CA6"/>
    <w:rsid w:val="000013D3"/>
    <w:rsid w:val="00001CC6"/>
    <w:rsid w:val="0000248C"/>
    <w:rsid w:val="00002FDB"/>
    <w:rsid w:val="00003D63"/>
    <w:rsid w:val="00004C3D"/>
    <w:rsid w:val="00005F46"/>
    <w:rsid w:val="00006A66"/>
    <w:rsid w:val="00007027"/>
    <w:rsid w:val="00007EE0"/>
    <w:rsid w:val="00011782"/>
    <w:rsid w:val="00011E96"/>
    <w:rsid w:val="00011FBA"/>
    <w:rsid w:val="00012009"/>
    <w:rsid w:val="00012DC2"/>
    <w:rsid w:val="00014034"/>
    <w:rsid w:val="000154F9"/>
    <w:rsid w:val="00021218"/>
    <w:rsid w:val="000218A7"/>
    <w:rsid w:val="000228D8"/>
    <w:rsid w:val="0002367B"/>
    <w:rsid w:val="00023D31"/>
    <w:rsid w:val="00024D3D"/>
    <w:rsid w:val="00024F2B"/>
    <w:rsid w:val="000264A7"/>
    <w:rsid w:val="00027CD4"/>
    <w:rsid w:val="00030913"/>
    <w:rsid w:val="00030DDB"/>
    <w:rsid w:val="00032223"/>
    <w:rsid w:val="000325C5"/>
    <w:rsid w:val="000329B2"/>
    <w:rsid w:val="00032A62"/>
    <w:rsid w:val="0003313B"/>
    <w:rsid w:val="000416B2"/>
    <w:rsid w:val="00041E2B"/>
    <w:rsid w:val="00042341"/>
    <w:rsid w:val="00042898"/>
    <w:rsid w:val="00044F85"/>
    <w:rsid w:val="00045656"/>
    <w:rsid w:val="00045682"/>
    <w:rsid w:val="000463E8"/>
    <w:rsid w:val="0005335F"/>
    <w:rsid w:val="0005576F"/>
    <w:rsid w:val="00056A00"/>
    <w:rsid w:val="000574F0"/>
    <w:rsid w:val="00057B27"/>
    <w:rsid w:val="00060C84"/>
    <w:rsid w:val="00064500"/>
    <w:rsid w:val="000700E9"/>
    <w:rsid w:val="00071392"/>
    <w:rsid w:val="0007325A"/>
    <w:rsid w:val="00073B94"/>
    <w:rsid w:val="00073D19"/>
    <w:rsid w:val="00081264"/>
    <w:rsid w:val="00083A22"/>
    <w:rsid w:val="000842B8"/>
    <w:rsid w:val="00086101"/>
    <w:rsid w:val="00086624"/>
    <w:rsid w:val="00086F3C"/>
    <w:rsid w:val="00090986"/>
    <w:rsid w:val="000917F2"/>
    <w:rsid w:val="00091812"/>
    <w:rsid w:val="00093F97"/>
    <w:rsid w:val="00096644"/>
    <w:rsid w:val="00096DDF"/>
    <w:rsid w:val="000A5031"/>
    <w:rsid w:val="000A5EFE"/>
    <w:rsid w:val="000A6994"/>
    <w:rsid w:val="000A6E45"/>
    <w:rsid w:val="000A7F50"/>
    <w:rsid w:val="000B05D3"/>
    <w:rsid w:val="000B2684"/>
    <w:rsid w:val="000B4336"/>
    <w:rsid w:val="000B67AB"/>
    <w:rsid w:val="000C489A"/>
    <w:rsid w:val="000C4BF9"/>
    <w:rsid w:val="000C5A4D"/>
    <w:rsid w:val="000C7F52"/>
    <w:rsid w:val="000D02D9"/>
    <w:rsid w:val="000D0387"/>
    <w:rsid w:val="000D0E28"/>
    <w:rsid w:val="000D1F6F"/>
    <w:rsid w:val="000D2E9D"/>
    <w:rsid w:val="000D38B8"/>
    <w:rsid w:val="000D715D"/>
    <w:rsid w:val="000D7404"/>
    <w:rsid w:val="000D7565"/>
    <w:rsid w:val="000E0C05"/>
    <w:rsid w:val="000E340C"/>
    <w:rsid w:val="000E35FD"/>
    <w:rsid w:val="000E5995"/>
    <w:rsid w:val="000E60BB"/>
    <w:rsid w:val="000E6540"/>
    <w:rsid w:val="000E6DB3"/>
    <w:rsid w:val="000F014F"/>
    <w:rsid w:val="000F0BD5"/>
    <w:rsid w:val="000F1FBC"/>
    <w:rsid w:val="000F2683"/>
    <w:rsid w:val="000F28BB"/>
    <w:rsid w:val="000F2BE4"/>
    <w:rsid w:val="000F2C28"/>
    <w:rsid w:val="000F352D"/>
    <w:rsid w:val="000F3CE3"/>
    <w:rsid w:val="000F49F2"/>
    <w:rsid w:val="000F5605"/>
    <w:rsid w:val="000F67AE"/>
    <w:rsid w:val="000F6A19"/>
    <w:rsid w:val="000F6EF7"/>
    <w:rsid w:val="000F72BF"/>
    <w:rsid w:val="000F779C"/>
    <w:rsid w:val="00101411"/>
    <w:rsid w:val="001023C4"/>
    <w:rsid w:val="00102869"/>
    <w:rsid w:val="00103293"/>
    <w:rsid w:val="001034C2"/>
    <w:rsid w:val="001035A1"/>
    <w:rsid w:val="00103E99"/>
    <w:rsid w:val="00104855"/>
    <w:rsid w:val="00104FC7"/>
    <w:rsid w:val="001053B3"/>
    <w:rsid w:val="00105A1D"/>
    <w:rsid w:val="0010720A"/>
    <w:rsid w:val="00110C9A"/>
    <w:rsid w:val="001111CD"/>
    <w:rsid w:val="00113607"/>
    <w:rsid w:val="00113687"/>
    <w:rsid w:val="00113909"/>
    <w:rsid w:val="00114E98"/>
    <w:rsid w:val="00115776"/>
    <w:rsid w:val="00117D6B"/>
    <w:rsid w:val="00120641"/>
    <w:rsid w:val="00120BBC"/>
    <w:rsid w:val="00121ED5"/>
    <w:rsid w:val="00123C33"/>
    <w:rsid w:val="0012451A"/>
    <w:rsid w:val="001253FA"/>
    <w:rsid w:val="001266D7"/>
    <w:rsid w:val="00126BEC"/>
    <w:rsid w:val="001308FE"/>
    <w:rsid w:val="001309C6"/>
    <w:rsid w:val="00130FD8"/>
    <w:rsid w:val="00131BFB"/>
    <w:rsid w:val="0013270A"/>
    <w:rsid w:val="00132A7B"/>
    <w:rsid w:val="0013337C"/>
    <w:rsid w:val="001348A4"/>
    <w:rsid w:val="00135F4D"/>
    <w:rsid w:val="00141046"/>
    <w:rsid w:val="0014328A"/>
    <w:rsid w:val="001445E3"/>
    <w:rsid w:val="001460AA"/>
    <w:rsid w:val="001478DA"/>
    <w:rsid w:val="00147BDD"/>
    <w:rsid w:val="0015084B"/>
    <w:rsid w:val="00151D96"/>
    <w:rsid w:val="00152884"/>
    <w:rsid w:val="001529DC"/>
    <w:rsid w:val="00153D2A"/>
    <w:rsid w:val="00155695"/>
    <w:rsid w:val="001576A5"/>
    <w:rsid w:val="0016143C"/>
    <w:rsid w:val="001637BC"/>
    <w:rsid w:val="00164D32"/>
    <w:rsid w:val="00164FF3"/>
    <w:rsid w:val="00166E7E"/>
    <w:rsid w:val="00167233"/>
    <w:rsid w:val="00167EFB"/>
    <w:rsid w:val="00170DD7"/>
    <w:rsid w:val="00170FD5"/>
    <w:rsid w:val="001710E9"/>
    <w:rsid w:val="00171EF2"/>
    <w:rsid w:val="00171F48"/>
    <w:rsid w:val="00172387"/>
    <w:rsid w:val="001739D9"/>
    <w:rsid w:val="00173A37"/>
    <w:rsid w:val="00173ECF"/>
    <w:rsid w:val="001749F6"/>
    <w:rsid w:val="00174F22"/>
    <w:rsid w:val="001761CA"/>
    <w:rsid w:val="00177085"/>
    <w:rsid w:val="001772F1"/>
    <w:rsid w:val="00177480"/>
    <w:rsid w:val="00180660"/>
    <w:rsid w:val="00180B03"/>
    <w:rsid w:val="00186EC2"/>
    <w:rsid w:val="00190F54"/>
    <w:rsid w:val="00191EB0"/>
    <w:rsid w:val="00194063"/>
    <w:rsid w:val="001963A0"/>
    <w:rsid w:val="001963CD"/>
    <w:rsid w:val="001978AC"/>
    <w:rsid w:val="00197C12"/>
    <w:rsid w:val="00197D34"/>
    <w:rsid w:val="00197D8C"/>
    <w:rsid w:val="001A0013"/>
    <w:rsid w:val="001A0366"/>
    <w:rsid w:val="001A0B05"/>
    <w:rsid w:val="001A1454"/>
    <w:rsid w:val="001A21EA"/>
    <w:rsid w:val="001A24BF"/>
    <w:rsid w:val="001A30BE"/>
    <w:rsid w:val="001A33D5"/>
    <w:rsid w:val="001A3869"/>
    <w:rsid w:val="001B00AF"/>
    <w:rsid w:val="001B2F1C"/>
    <w:rsid w:val="001B3605"/>
    <w:rsid w:val="001B48E3"/>
    <w:rsid w:val="001B592F"/>
    <w:rsid w:val="001B5C6A"/>
    <w:rsid w:val="001B78F9"/>
    <w:rsid w:val="001B7C3D"/>
    <w:rsid w:val="001B7F5D"/>
    <w:rsid w:val="001C0A9B"/>
    <w:rsid w:val="001C1AED"/>
    <w:rsid w:val="001C21FF"/>
    <w:rsid w:val="001C2F7A"/>
    <w:rsid w:val="001C37D9"/>
    <w:rsid w:val="001C48A1"/>
    <w:rsid w:val="001C4CD7"/>
    <w:rsid w:val="001C5645"/>
    <w:rsid w:val="001C651E"/>
    <w:rsid w:val="001D2B1C"/>
    <w:rsid w:val="001D3864"/>
    <w:rsid w:val="001E0206"/>
    <w:rsid w:val="001E10B7"/>
    <w:rsid w:val="001E13BA"/>
    <w:rsid w:val="001E1620"/>
    <w:rsid w:val="001E1623"/>
    <w:rsid w:val="001E183F"/>
    <w:rsid w:val="001E1DE3"/>
    <w:rsid w:val="001E2335"/>
    <w:rsid w:val="001E300F"/>
    <w:rsid w:val="001E3C11"/>
    <w:rsid w:val="001E3CB9"/>
    <w:rsid w:val="001E535C"/>
    <w:rsid w:val="001E53EC"/>
    <w:rsid w:val="001E577F"/>
    <w:rsid w:val="001E6F8B"/>
    <w:rsid w:val="001E757B"/>
    <w:rsid w:val="001E7FB2"/>
    <w:rsid w:val="001F03E0"/>
    <w:rsid w:val="001F16ED"/>
    <w:rsid w:val="001F2311"/>
    <w:rsid w:val="001F4A54"/>
    <w:rsid w:val="001F5E5E"/>
    <w:rsid w:val="0020129A"/>
    <w:rsid w:val="0020169B"/>
    <w:rsid w:val="00201E59"/>
    <w:rsid w:val="002035CD"/>
    <w:rsid w:val="002036F5"/>
    <w:rsid w:val="0020393B"/>
    <w:rsid w:val="0020406A"/>
    <w:rsid w:val="00205170"/>
    <w:rsid w:val="002056BB"/>
    <w:rsid w:val="00205C4D"/>
    <w:rsid w:val="00207D59"/>
    <w:rsid w:val="00207F28"/>
    <w:rsid w:val="00211681"/>
    <w:rsid w:val="00213202"/>
    <w:rsid w:val="002135F1"/>
    <w:rsid w:val="00214235"/>
    <w:rsid w:val="00214525"/>
    <w:rsid w:val="00214DF2"/>
    <w:rsid w:val="00217566"/>
    <w:rsid w:val="00217619"/>
    <w:rsid w:val="00221902"/>
    <w:rsid w:val="00221B42"/>
    <w:rsid w:val="00222AE3"/>
    <w:rsid w:val="00223A3B"/>
    <w:rsid w:val="0022461D"/>
    <w:rsid w:val="00224864"/>
    <w:rsid w:val="00224957"/>
    <w:rsid w:val="002253F0"/>
    <w:rsid w:val="00226916"/>
    <w:rsid w:val="00227E03"/>
    <w:rsid w:val="00230C39"/>
    <w:rsid w:val="002313CF"/>
    <w:rsid w:val="00231AAD"/>
    <w:rsid w:val="0023239B"/>
    <w:rsid w:val="00233338"/>
    <w:rsid w:val="00233ADA"/>
    <w:rsid w:val="00233C85"/>
    <w:rsid w:val="00233E6C"/>
    <w:rsid w:val="002355A4"/>
    <w:rsid w:val="00235715"/>
    <w:rsid w:val="00236D5C"/>
    <w:rsid w:val="00237BD6"/>
    <w:rsid w:val="002400DF"/>
    <w:rsid w:val="00240166"/>
    <w:rsid w:val="00240CE1"/>
    <w:rsid w:val="00241961"/>
    <w:rsid w:val="00241C1C"/>
    <w:rsid w:val="0024380F"/>
    <w:rsid w:val="00244438"/>
    <w:rsid w:val="00244653"/>
    <w:rsid w:val="0024497D"/>
    <w:rsid w:val="00244B17"/>
    <w:rsid w:val="002468CE"/>
    <w:rsid w:val="002469FF"/>
    <w:rsid w:val="002507FD"/>
    <w:rsid w:val="0025269B"/>
    <w:rsid w:val="0025301B"/>
    <w:rsid w:val="002534C5"/>
    <w:rsid w:val="00253FAF"/>
    <w:rsid w:val="002549A4"/>
    <w:rsid w:val="0025507C"/>
    <w:rsid w:val="00255672"/>
    <w:rsid w:val="002572AA"/>
    <w:rsid w:val="0025797B"/>
    <w:rsid w:val="00261CC0"/>
    <w:rsid w:val="00263BEB"/>
    <w:rsid w:val="0026510B"/>
    <w:rsid w:val="00266AB5"/>
    <w:rsid w:val="00267879"/>
    <w:rsid w:val="00270454"/>
    <w:rsid w:val="0027057F"/>
    <w:rsid w:val="002737D6"/>
    <w:rsid w:val="002747F4"/>
    <w:rsid w:val="00274EB8"/>
    <w:rsid w:val="00276BA2"/>
    <w:rsid w:val="00280879"/>
    <w:rsid w:val="00280EF9"/>
    <w:rsid w:val="00281023"/>
    <w:rsid w:val="002812F3"/>
    <w:rsid w:val="00283EFE"/>
    <w:rsid w:val="00284190"/>
    <w:rsid w:val="002862FD"/>
    <w:rsid w:val="00286B36"/>
    <w:rsid w:val="00287176"/>
    <w:rsid w:val="00287852"/>
    <w:rsid w:val="00287E97"/>
    <w:rsid w:val="00291D28"/>
    <w:rsid w:val="002938C6"/>
    <w:rsid w:val="002940DA"/>
    <w:rsid w:val="00295700"/>
    <w:rsid w:val="00295CCB"/>
    <w:rsid w:val="00295CFF"/>
    <w:rsid w:val="002962E7"/>
    <w:rsid w:val="0029666E"/>
    <w:rsid w:val="00297478"/>
    <w:rsid w:val="002974F6"/>
    <w:rsid w:val="002A00FF"/>
    <w:rsid w:val="002A0534"/>
    <w:rsid w:val="002A1899"/>
    <w:rsid w:val="002A1B1C"/>
    <w:rsid w:val="002A1BA0"/>
    <w:rsid w:val="002A4F88"/>
    <w:rsid w:val="002B015A"/>
    <w:rsid w:val="002B2578"/>
    <w:rsid w:val="002B5825"/>
    <w:rsid w:val="002B5921"/>
    <w:rsid w:val="002B637B"/>
    <w:rsid w:val="002B70FF"/>
    <w:rsid w:val="002B730E"/>
    <w:rsid w:val="002B780D"/>
    <w:rsid w:val="002C4307"/>
    <w:rsid w:val="002C4A37"/>
    <w:rsid w:val="002C5F0F"/>
    <w:rsid w:val="002C6074"/>
    <w:rsid w:val="002D090B"/>
    <w:rsid w:val="002D2369"/>
    <w:rsid w:val="002D2D1A"/>
    <w:rsid w:val="002D3D5C"/>
    <w:rsid w:val="002D42B5"/>
    <w:rsid w:val="002D5B35"/>
    <w:rsid w:val="002D72F6"/>
    <w:rsid w:val="002D790E"/>
    <w:rsid w:val="002E04D3"/>
    <w:rsid w:val="002E05BA"/>
    <w:rsid w:val="002E1530"/>
    <w:rsid w:val="002E245F"/>
    <w:rsid w:val="002E39A8"/>
    <w:rsid w:val="002E3A11"/>
    <w:rsid w:val="002E3B1C"/>
    <w:rsid w:val="002E3C35"/>
    <w:rsid w:val="002E42A0"/>
    <w:rsid w:val="002E4D14"/>
    <w:rsid w:val="002E5D16"/>
    <w:rsid w:val="002E7BBF"/>
    <w:rsid w:val="002F0596"/>
    <w:rsid w:val="002F1854"/>
    <w:rsid w:val="002F258C"/>
    <w:rsid w:val="002F2814"/>
    <w:rsid w:val="002F2845"/>
    <w:rsid w:val="002F3757"/>
    <w:rsid w:val="002F3F11"/>
    <w:rsid w:val="002F5377"/>
    <w:rsid w:val="002F56A6"/>
    <w:rsid w:val="002F725D"/>
    <w:rsid w:val="0030031F"/>
    <w:rsid w:val="00300C35"/>
    <w:rsid w:val="00301232"/>
    <w:rsid w:val="003030A8"/>
    <w:rsid w:val="003063D2"/>
    <w:rsid w:val="00310844"/>
    <w:rsid w:val="0031515C"/>
    <w:rsid w:val="003157D8"/>
    <w:rsid w:val="0031597E"/>
    <w:rsid w:val="0031598B"/>
    <w:rsid w:val="003172B3"/>
    <w:rsid w:val="003207D3"/>
    <w:rsid w:val="00320F41"/>
    <w:rsid w:val="003219C9"/>
    <w:rsid w:val="00322521"/>
    <w:rsid w:val="003239BC"/>
    <w:rsid w:val="003263CB"/>
    <w:rsid w:val="0032698F"/>
    <w:rsid w:val="00326A27"/>
    <w:rsid w:val="003320EB"/>
    <w:rsid w:val="003332F2"/>
    <w:rsid w:val="00334189"/>
    <w:rsid w:val="0033500A"/>
    <w:rsid w:val="00335507"/>
    <w:rsid w:val="0034128E"/>
    <w:rsid w:val="003420C5"/>
    <w:rsid w:val="00342340"/>
    <w:rsid w:val="003430A8"/>
    <w:rsid w:val="003434E4"/>
    <w:rsid w:val="0034565F"/>
    <w:rsid w:val="00346A3C"/>
    <w:rsid w:val="003472F0"/>
    <w:rsid w:val="00350966"/>
    <w:rsid w:val="00350B91"/>
    <w:rsid w:val="00352DA2"/>
    <w:rsid w:val="0035311E"/>
    <w:rsid w:val="00353834"/>
    <w:rsid w:val="0035415D"/>
    <w:rsid w:val="003548AA"/>
    <w:rsid w:val="0035715A"/>
    <w:rsid w:val="003602F7"/>
    <w:rsid w:val="00360835"/>
    <w:rsid w:val="00360916"/>
    <w:rsid w:val="00361C46"/>
    <w:rsid w:val="003655E6"/>
    <w:rsid w:val="00365AA7"/>
    <w:rsid w:val="00365C46"/>
    <w:rsid w:val="003661A5"/>
    <w:rsid w:val="00367953"/>
    <w:rsid w:val="00370494"/>
    <w:rsid w:val="0037211B"/>
    <w:rsid w:val="00382330"/>
    <w:rsid w:val="0038249C"/>
    <w:rsid w:val="00383A63"/>
    <w:rsid w:val="00384607"/>
    <w:rsid w:val="00384ABD"/>
    <w:rsid w:val="00385231"/>
    <w:rsid w:val="0038585F"/>
    <w:rsid w:val="00386A73"/>
    <w:rsid w:val="00387AAC"/>
    <w:rsid w:val="00392134"/>
    <w:rsid w:val="003935EC"/>
    <w:rsid w:val="00394CE2"/>
    <w:rsid w:val="0039522E"/>
    <w:rsid w:val="00397283"/>
    <w:rsid w:val="0039731A"/>
    <w:rsid w:val="003A1D31"/>
    <w:rsid w:val="003A2B64"/>
    <w:rsid w:val="003A443D"/>
    <w:rsid w:val="003A473E"/>
    <w:rsid w:val="003A4F68"/>
    <w:rsid w:val="003A619D"/>
    <w:rsid w:val="003A6D5E"/>
    <w:rsid w:val="003A78C2"/>
    <w:rsid w:val="003B3349"/>
    <w:rsid w:val="003B3B69"/>
    <w:rsid w:val="003B51C4"/>
    <w:rsid w:val="003B5E88"/>
    <w:rsid w:val="003B77C3"/>
    <w:rsid w:val="003C1924"/>
    <w:rsid w:val="003C1E25"/>
    <w:rsid w:val="003C2659"/>
    <w:rsid w:val="003C2B47"/>
    <w:rsid w:val="003C4593"/>
    <w:rsid w:val="003C4B83"/>
    <w:rsid w:val="003C4BF1"/>
    <w:rsid w:val="003C59FB"/>
    <w:rsid w:val="003C7202"/>
    <w:rsid w:val="003D05A9"/>
    <w:rsid w:val="003D1757"/>
    <w:rsid w:val="003D1C40"/>
    <w:rsid w:val="003D2DF9"/>
    <w:rsid w:val="003D3285"/>
    <w:rsid w:val="003D330E"/>
    <w:rsid w:val="003D344A"/>
    <w:rsid w:val="003D3DF4"/>
    <w:rsid w:val="003D41A1"/>
    <w:rsid w:val="003D4423"/>
    <w:rsid w:val="003D4513"/>
    <w:rsid w:val="003D4522"/>
    <w:rsid w:val="003D47F7"/>
    <w:rsid w:val="003D5867"/>
    <w:rsid w:val="003D64B5"/>
    <w:rsid w:val="003E1700"/>
    <w:rsid w:val="003E38E3"/>
    <w:rsid w:val="003E56F2"/>
    <w:rsid w:val="003E7540"/>
    <w:rsid w:val="003E7831"/>
    <w:rsid w:val="003E7B3E"/>
    <w:rsid w:val="003F0C24"/>
    <w:rsid w:val="003F0C2C"/>
    <w:rsid w:val="003F0C89"/>
    <w:rsid w:val="003F1806"/>
    <w:rsid w:val="003F2363"/>
    <w:rsid w:val="003F282F"/>
    <w:rsid w:val="003F42F9"/>
    <w:rsid w:val="003F6BB8"/>
    <w:rsid w:val="00400220"/>
    <w:rsid w:val="00400AD6"/>
    <w:rsid w:val="00401692"/>
    <w:rsid w:val="004021A6"/>
    <w:rsid w:val="00403F3D"/>
    <w:rsid w:val="004041A6"/>
    <w:rsid w:val="00405155"/>
    <w:rsid w:val="00406437"/>
    <w:rsid w:val="00406842"/>
    <w:rsid w:val="00407238"/>
    <w:rsid w:val="0040743A"/>
    <w:rsid w:val="00407A5B"/>
    <w:rsid w:val="004115F5"/>
    <w:rsid w:val="00414266"/>
    <w:rsid w:val="0041469F"/>
    <w:rsid w:val="00414B9F"/>
    <w:rsid w:val="00414DFB"/>
    <w:rsid w:val="00415D0C"/>
    <w:rsid w:val="00416DCE"/>
    <w:rsid w:val="00417337"/>
    <w:rsid w:val="004201A7"/>
    <w:rsid w:val="00420468"/>
    <w:rsid w:val="004221E4"/>
    <w:rsid w:val="004247F5"/>
    <w:rsid w:val="0042551E"/>
    <w:rsid w:val="004266C7"/>
    <w:rsid w:val="00431087"/>
    <w:rsid w:val="00431CB4"/>
    <w:rsid w:val="00431E7A"/>
    <w:rsid w:val="00433AD3"/>
    <w:rsid w:val="00435670"/>
    <w:rsid w:val="004362A4"/>
    <w:rsid w:val="00440B13"/>
    <w:rsid w:val="00442704"/>
    <w:rsid w:val="004429DD"/>
    <w:rsid w:val="00443731"/>
    <w:rsid w:val="004440A4"/>
    <w:rsid w:val="00444169"/>
    <w:rsid w:val="00445907"/>
    <w:rsid w:val="00446570"/>
    <w:rsid w:val="00446788"/>
    <w:rsid w:val="00447785"/>
    <w:rsid w:val="00450431"/>
    <w:rsid w:val="004505A8"/>
    <w:rsid w:val="00451B35"/>
    <w:rsid w:val="00452313"/>
    <w:rsid w:val="004560A7"/>
    <w:rsid w:val="00456482"/>
    <w:rsid w:val="00456EB1"/>
    <w:rsid w:val="0045794A"/>
    <w:rsid w:val="004608E6"/>
    <w:rsid w:val="0046183A"/>
    <w:rsid w:val="00463793"/>
    <w:rsid w:val="00464A2A"/>
    <w:rsid w:val="00464BC6"/>
    <w:rsid w:val="00464F74"/>
    <w:rsid w:val="00467081"/>
    <w:rsid w:val="004701A8"/>
    <w:rsid w:val="00470E40"/>
    <w:rsid w:val="0047114E"/>
    <w:rsid w:val="00471DD3"/>
    <w:rsid w:val="00476344"/>
    <w:rsid w:val="004772C3"/>
    <w:rsid w:val="00480B7C"/>
    <w:rsid w:val="0048203F"/>
    <w:rsid w:val="004846A0"/>
    <w:rsid w:val="0048629A"/>
    <w:rsid w:val="004918B7"/>
    <w:rsid w:val="004938FF"/>
    <w:rsid w:val="00495608"/>
    <w:rsid w:val="004962C2"/>
    <w:rsid w:val="00496757"/>
    <w:rsid w:val="00496EA4"/>
    <w:rsid w:val="00496F04"/>
    <w:rsid w:val="00497B8D"/>
    <w:rsid w:val="004A0143"/>
    <w:rsid w:val="004A086E"/>
    <w:rsid w:val="004A1111"/>
    <w:rsid w:val="004A335D"/>
    <w:rsid w:val="004A55D2"/>
    <w:rsid w:val="004A5E3C"/>
    <w:rsid w:val="004B0DF0"/>
    <w:rsid w:val="004B0EFC"/>
    <w:rsid w:val="004B0F79"/>
    <w:rsid w:val="004B11FC"/>
    <w:rsid w:val="004B122D"/>
    <w:rsid w:val="004B1519"/>
    <w:rsid w:val="004B1698"/>
    <w:rsid w:val="004B2259"/>
    <w:rsid w:val="004B2267"/>
    <w:rsid w:val="004B22F1"/>
    <w:rsid w:val="004B243A"/>
    <w:rsid w:val="004B3391"/>
    <w:rsid w:val="004B46BC"/>
    <w:rsid w:val="004B4FD2"/>
    <w:rsid w:val="004B53BD"/>
    <w:rsid w:val="004B55B6"/>
    <w:rsid w:val="004B65EA"/>
    <w:rsid w:val="004B6C09"/>
    <w:rsid w:val="004B7568"/>
    <w:rsid w:val="004C094C"/>
    <w:rsid w:val="004C0F90"/>
    <w:rsid w:val="004C1E75"/>
    <w:rsid w:val="004C535A"/>
    <w:rsid w:val="004C61EE"/>
    <w:rsid w:val="004C65F0"/>
    <w:rsid w:val="004C7E1C"/>
    <w:rsid w:val="004D17B1"/>
    <w:rsid w:val="004D1CE0"/>
    <w:rsid w:val="004D206F"/>
    <w:rsid w:val="004D2574"/>
    <w:rsid w:val="004D4315"/>
    <w:rsid w:val="004D562F"/>
    <w:rsid w:val="004D6634"/>
    <w:rsid w:val="004D7FA9"/>
    <w:rsid w:val="004D7FB0"/>
    <w:rsid w:val="004E140A"/>
    <w:rsid w:val="004E1CFC"/>
    <w:rsid w:val="004E3617"/>
    <w:rsid w:val="004E500E"/>
    <w:rsid w:val="004E556D"/>
    <w:rsid w:val="004E57DF"/>
    <w:rsid w:val="004E5803"/>
    <w:rsid w:val="004F3002"/>
    <w:rsid w:val="004F45A1"/>
    <w:rsid w:val="004F4880"/>
    <w:rsid w:val="004F5B3B"/>
    <w:rsid w:val="004F6740"/>
    <w:rsid w:val="004F6B9B"/>
    <w:rsid w:val="004F6ED3"/>
    <w:rsid w:val="004F744F"/>
    <w:rsid w:val="005003EE"/>
    <w:rsid w:val="0050353C"/>
    <w:rsid w:val="00504A2F"/>
    <w:rsid w:val="00505863"/>
    <w:rsid w:val="00505A85"/>
    <w:rsid w:val="00505EA7"/>
    <w:rsid w:val="00506B4A"/>
    <w:rsid w:val="00506E80"/>
    <w:rsid w:val="0050786D"/>
    <w:rsid w:val="00507DE5"/>
    <w:rsid w:val="00512A9D"/>
    <w:rsid w:val="005130A4"/>
    <w:rsid w:val="00517466"/>
    <w:rsid w:val="00517938"/>
    <w:rsid w:val="00521095"/>
    <w:rsid w:val="0052329B"/>
    <w:rsid w:val="00524A3A"/>
    <w:rsid w:val="00524CD2"/>
    <w:rsid w:val="005258F9"/>
    <w:rsid w:val="00525D95"/>
    <w:rsid w:val="00525FFD"/>
    <w:rsid w:val="00527D09"/>
    <w:rsid w:val="00527EB9"/>
    <w:rsid w:val="00532003"/>
    <w:rsid w:val="005329AB"/>
    <w:rsid w:val="00533848"/>
    <w:rsid w:val="00533BC2"/>
    <w:rsid w:val="0053553F"/>
    <w:rsid w:val="00535FE6"/>
    <w:rsid w:val="005368B6"/>
    <w:rsid w:val="00537D9B"/>
    <w:rsid w:val="00540C00"/>
    <w:rsid w:val="0054164B"/>
    <w:rsid w:val="0054449B"/>
    <w:rsid w:val="00545023"/>
    <w:rsid w:val="00545E3D"/>
    <w:rsid w:val="0054723D"/>
    <w:rsid w:val="005475F4"/>
    <w:rsid w:val="005478E0"/>
    <w:rsid w:val="00547EBC"/>
    <w:rsid w:val="0055043B"/>
    <w:rsid w:val="00550687"/>
    <w:rsid w:val="00551542"/>
    <w:rsid w:val="005548F7"/>
    <w:rsid w:val="00554E54"/>
    <w:rsid w:val="00555276"/>
    <w:rsid w:val="00555641"/>
    <w:rsid w:val="00556611"/>
    <w:rsid w:val="00556BA4"/>
    <w:rsid w:val="00562C91"/>
    <w:rsid w:val="005647E5"/>
    <w:rsid w:val="00566979"/>
    <w:rsid w:val="005701A3"/>
    <w:rsid w:val="00570EC3"/>
    <w:rsid w:val="005714C2"/>
    <w:rsid w:val="00571D86"/>
    <w:rsid w:val="0057361C"/>
    <w:rsid w:val="00573A54"/>
    <w:rsid w:val="00575EE2"/>
    <w:rsid w:val="00576A1F"/>
    <w:rsid w:val="005770F5"/>
    <w:rsid w:val="00577417"/>
    <w:rsid w:val="00581F67"/>
    <w:rsid w:val="00582790"/>
    <w:rsid w:val="00582A9E"/>
    <w:rsid w:val="00582F92"/>
    <w:rsid w:val="00584234"/>
    <w:rsid w:val="005863F7"/>
    <w:rsid w:val="00591A82"/>
    <w:rsid w:val="00592ACB"/>
    <w:rsid w:val="00595CC8"/>
    <w:rsid w:val="00595E0C"/>
    <w:rsid w:val="005A0179"/>
    <w:rsid w:val="005A0E83"/>
    <w:rsid w:val="005A11C6"/>
    <w:rsid w:val="005A1DB6"/>
    <w:rsid w:val="005A4DBA"/>
    <w:rsid w:val="005A565D"/>
    <w:rsid w:val="005A573B"/>
    <w:rsid w:val="005A6FB6"/>
    <w:rsid w:val="005A7107"/>
    <w:rsid w:val="005B1008"/>
    <w:rsid w:val="005B1203"/>
    <w:rsid w:val="005B17F3"/>
    <w:rsid w:val="005B4FAA"/>
    <w:rsid w:val="005B6585"/>
    <w:rsid w:val="005B7529"/>
    <w:rsid w:val="005C0357"/>
    <w:rsid w:val="005C0AED"/>
    <w:rsid w:val="005C0C59"/>
    <w:rsid w:val="005C0CA4"/>
    <w:rsid w:val="005C1E39"/>
    <w:rsid w:val="005C2772"/>
    <w:rsid w:val="005C4DE4"/>
    <w:rsid w:val="005C4E0D"/>
    <w:rsid w:val="005C58A8"/>
    <w:rsid w:val="005C6403"/>
    <w:rsid w:val="005C6894"/>
    <w:rsid w:val="005C7E1A"/>
    <w:rsid w:val="005C7F2F"/>
    <w:rsid w:val="005D09DE"/>
    <w:rsid w:val="005D0ACC"/>
    <w:rsid w:val="005D1B91"/>
    <w:rsid w:val="005D290B"/>
    <w:rsid w:val="005D34D5"/>
    <w:rsid w:val="005D616B"/>
    <w:rsid w:val="005D7DFC"/>
    <w:rsid w:val="005E3097"/>
    <w:rsid w:val="005E3C30"/>
    <w:rsid w:val="005E4C88"/>
    <w:rsid w:val="005E5874"/>
    <w:rsid w:val="005E5D5A"/>
    <w:rsid w:val="005F044F"/>
    <w:rsid w:val="005F0FA2"/>
    <w:rsid w:val="005F4353"/>
    <w:rsid w:val="005F4CFC"/>
    <w:rsid w:val="005F667C"/>
    <w:rsid w:val="005F704F"/>
    <w:rsid w:val="0060255B"/>
    <w:rsid w:val="00603C8F"/>
    <w:rsid w:val="006040A2"/>
    <w:rsid w:val="006056D9"/>
    <w:rsid w:val="0060581B"/>
    <w:rsid w:val="00606AFF"/>
    <w:rsid w:val="00606E90"/>
    <w:rsid w:val="006072A6"/>
    <w:rsid w:val="00614E01"/>
    <w:rsid w:val="0061626A"/>
    <w:rsid w:val="006165A3"/>
    <w:rsid w:val="006170DA"/>
    <w:rsid w:val="0061782F"/>
    <w:rsid w:val="00620209"/>
    <w:rsid w:val="0062177D"/>
    <w:rsid w:val="0062565C"/>
    <w:rsid w:val="00626A78"/>
    <w:rsid w:val="006304F2"/>
    <w:rsid w:val="0063405A"/>
    <w:rsid w:val="0063537E"/>
    <w:rsid w:val="00635C33"/>
    <w:rsid w:val="00636B81"/>
    <w:rsid w:val="006371F1"/>
    <w:rsid w:val="00640AC8"/>
    <w:rsid w:val="006415D7"/>
    <w:rsid w:val="00642CAA"/>
    <w:rsid w:val="0064317F"/>
    <w:rsid w:val="0064391F"/>
    <w:rsid w:val="00645C8C"/>
    <w:rsid w:val="00647A8C"/>
    <w:rsid w:val="00647EDB"/>
    <w:rsid w:val="00647F7D"/>
    <w:rsid w:val="00651B08"/>
    <w:rsid w:val="00653A85"/>
    <w:rsid w:val="00654BDF"/>
    <w:rsid w:val="00655779"/>
    <w:rsid w:val="0065656A"/>
    <w:rsid w:val="00660E4C"/>
    <w:rsid w:val="006618AA"/>
    <w:rsid w:val="0066196A"/>
    <w:rsid w:val="006624BE"/>
    <w:rsid w:val="00662FFA"/>
    <w:rsid w:val="00663F3E"/>
    <w:rsid w:val="006660FF"/>
    <w:rsid w:val="0066798F"/>
    <w:rsid w:val="00667CBE"/>
    <w:rsid w:val="00667D20"/>
    <w:rsid w:val="00672849"/>
    <w:rsid w:val="006740A3"/>
    <w:rsid w:val="0067469E"/>
    <w:rsid w:val="00674EFE"/>
    <w:rsid w:val="00674FA4"/>
    <w:rsid w:val="00676F44"/>
    <w:rsid w:val="00677AE9"/>
    <w:rsid w:val="0068029B"/>
    <w:rsid w:val="00684535"/>
    <w:rsid w:val="0068517E"/>
    <w:rsid w:val="0068651B"/>
    <w:rsid w:val="00687BEC"/>
    <w:rsid w:val="00690C1C"/>
    <w:rsid w:val="00693FD9"/>
    <w:rsid w:val="00695382"/>
    <w:rsid w:val="006955EF"/>
    <w:rsid w:val="0069562B"/>
    <w:rsid w:val="00695695"/>
    <w:rsid w:val="00695B39"/>
    <w:rsid w:val="00695ECE"/>
    <w:rsid w:val="0069619D"/>
    <w:rsid w:val="00696471"/>
    <w:rsid w:val="00696786"/>
    <w:rsid w:val="00696827"/>
    <w:rsid w:val="00696FC3"/>
    <w:rsid w:val="006974DA"/>
    <w:rsid w:val="00697811"/>
    <w:rsid w:val="00697ED6"/>
    <w:rsid w:val="006A0EBE"/>
    <w:rsid w:val="006A30BD"/>
    <w:rsid w:val="006A6A83"/>
    <w:rsid w:val="006A776E"/>
    <w:rsid w:val="006B1488"/>
    <w:rsid w:val="006B21C6"/>
    <w:rsid w:val="006B49CB"/>
    <w:rsid w:val="006B57A0"/>
    <w:rsid w:val="006B5FF2"/>
    <w:rsid w:val="006B6234"/>
    <w:rsid w:val="006B6B26"/>
    <w:rsid w:val="006B7B7F"/>
    <w:rsid w:val="006B7CBE"/>
    <w:rsid w:val="006C038C"/>
    <w:rsid w:val="006C2E4B"/>
    <w:rsid w:val="006C3FF4"/>
    <w:rsid w:val="006C703C"/>
    <w:rsid w:val="006C71EC"/>
    <w:rsid w:val="006C7BBB"/>
    <w:rsid w:val="006D04E8"/>
    <w:rsid w:val="006D1BAD"/>
    <w:rsid w:val="006D4382"/>
    <w:rsid w:val="006D4CA7"/>
    <w:rsid w:val="006E1251"/>
    <w:rsid w:val="006E750A"/>
    <w:rsid w:val="006F05F3"/>
    <w:rsid w:val="006F086E"/>
    <w:rsid w:val="006F09DA"/>
    <w:rsid w:val="006F2621"/>
    <w:rsid w:val="006F3235"/>
    <w:rsid w:val="006F53A6"/>
    <w:rsid w:val="006F5991"/>
    <w:rsid w:val="007002BE"/>
    <w:rsid w:val="0070059D"/>
    <w:rsid w:val="00700B67"/>
    <w:rsid w:val="00705A2C"/>
    <w:rsid w:val="00707692"/>
    <w:rsid w:val="007101AB"/>
    <w:rsid w:val="00710D43"/>
    <w:rsid w:val="00711795"/>
    <w:rsid w:val="0071259E"/>
    <w:rsid w:val="0071574D"/>
    <w:rsid w:val="00715AF4"/>
    <w:rsid w:val="00716EB0"/>
    <w:rsid w:val="007209A1"/>
    <w:rsid w:val="00720BC2"/>
    <w:rsid w:val="00720D2E"/>
    <w:rsid w:val="007216D3"/>
    <w:rsid w:val="0072280C"/>
    <w:rsid w:val="00722FD5"/>
    <w:rsid w:val="00723E6F"/>
    <w:rsid w:val="007250C2"/>
    <w:rsid w:val="007252A3"/>
    <w:rsid w:val="00725639"/>
    <w:rsid w:val="00726BAF"/>
    <w:rsid w:val="00730A3B"/>
    <w:rsid w:val="00730C56"/>
    <w:rsid w:val="007310BF"/>
    <w:rsid w:val="00731165"/>
    <w:rsid w:val="00731CF9"/>
    <w:rsid w:val="007320C9"/>
    <w:rsid w:val="00733220"/>
    <w:rsid w:val="007340F2"/>
    <w:rsid w:val="0073410A"/>
    <w:rsid w:val="0073418E"/>
    <w:rsid w:val="007418EC"/>
    <w:rsid w:val="007422A4"/>
    <w:rsid w:val="00743182"/>
    <w:rsid w:val="00744429"/>
    <w:rsid w:val="00744AEE"/>
    <w:rsid w:val="007450B3"/>
    <w:rsid w:val="0074511A"/>
    <w:rsid w:val="00745CC5"/>
    <w:rsid w:val="00745CDE"/>
    <w:rsid w:val="00745E12"/>
    <w:rsid w:val="00746FFE"/>
    <w:rsid w:val="00747953"/>
    <w:rsid w:val="00751BA3"/>
    <w:rsid w:val="0075244C"/>
    <w:rsid w:val="00753264"/>
    <w:rsid w:val="007541D6"/>
    <w:rsid w:val="00755174"/>
    <w:rsid w:val="00755435"/>
    <w:rsid w:val="007569DE"/>
    <w:rsid w:val="00756AFE"/>
    <w:rsid w:val="00756DEC"/>
    <w:rsid w:val="00756F0A"/>
    <w:rsid w:val="0075789F"/>
    <w:rsid w:val="007644E8"/>
    <w:rsid w:val="007646D5"/>
    <w:rsid w:val="00765F3A"/>
    <w:rsid w:val="00767357"/>
    <w:rsid w:val="00767BA8"/>
    <w:rsid w:val="007703EF"/>
    <w:rsid w:val="00770A8A"/>
    <w:rsid w:val="007722F3"/>
    <w:rsid w:val="00772ACF"/>
    <w:rsid w:val="007753BB"/>
    <w:rsid w:val="00775751"/>
    <w:rsid w:val="007759C8"/>
    <w:rsid w:val="007775B2"/>
    <w:rsid w:val="0077777E"/>
    <w:rsid w:val="00781848"/>
    <w:rsid w:val="007828B9"/>
    <w:rsid w:val="007830B4"/>
    <w:rsid w:val="00785263"/>
    <w:rsid w:val="0078575F"/>
    <w:rsid w:val="00785D35"/>
    <w:rsid w:val="007860E3"/>
    <w:rsid w:val="00787AC7"/>
    <w:rsid w:val="00790114"/>
    <w:rsid w:val="00790757"/>
    <w:rsid w:val="00790903"/>
    <w:rsid w:val="00790ED1"/>
    <w:rsid w:val="00791912"/>
    <w:rsid w:val="0079307D"/>
    <w:rsid w:val="00795E56"/>
    <w:rsid w:val="00796857"/>
    <w:rsid w:val="00797043"/>
    <w:rsid w:val="00797E6A"/>
    <w:rsid w:val="007A1610"/>
    <w:rsid w:val="007A16AE"/>
    <w:rsid w:val="007A2634"/>
    <w:rsid w:val="007A2F9B"/>
    <w:rsid w:val="007A3413"/>
    <w:rsid w:val="007A4873"/>
    <w:rsid w:val="007A6B10"/>
    <w:rsid w:val="007A6F93"/>
    <w:rsid w:val="007A6FFB"/>
    <w:rsid w:val="007B25B9"/>
    <w:rsid w:val="007B2E2D"/>
    <w:rsid w:val="007B3140"/>
    <w:rsid w:val="007B355D"/>
    <w:rsid w:val="007B6164"/>
    <w:rsid w:val="007B725E"/>
    <w:rsid w:val="007B7A33"/>
    <w:rsid w:val="007C16E7"/>
    <w:rsid w:val="007C21A6"/>
    <w:rsid w:val="007C279A"/>
    <w:rsid w:val="007C3418"/>
    <w:rsid w:val="007D1BD7"/>
    <w:rsid w:val="007D2B8D"/>
    <w:rsid w:val="007D4929"/>
    <w:rsid w:val="007E0437"/>
    <w:rsid w:val="007E14FB"/>
    <w:rsid w:val="007E1F31"/>
    <w:rsid w:val="007E1F8C"/>
    <w:rsid w:val="007E2165"/>
    <w:rsid w:val="007E29E6"/>
    <w:rsid w:val="007E4B36"/>
    <w:rsid w:val="007E60F6"/>
    <w:rsid w:val="007E7428"/>
    <w:rsid w:val="007E759F"/>
    <w:rsid w:val="007E7C5A"/>
    <w:rsid w:val="007E7D45"/>
    <w:rsid w:val="007F2628"/>
    <w:rsid w:val="007F2D54"/>
    <w:rsid w:val="007F377A"/>
    <w:rsid w:val="007F3A36"/>
    <w:rsid w:val="007F64F7"/>
    <w:rsid w:val="007F67C6"/>
    <w:rsid w:val="007F6882"/>
    <w:rsid w:val="007F6C5C"/>
    <w:rsid w:val="007F6F54"/>
    <w:rsid w:val="007F7C9E"/>
    <w:rsid w:val="00800F98"/>
    <w:rsid w:val="0080176B"/>
    <w:rsid w:val="0080192C"/>
    <w:rsid w:val="00802678"/>
    <w:rsid w:val="0080384A"/>
    <w:rsid w:val="00803D58"/>
    <w:rsid w:val="0080428A"/>
    <w:rsid w:val="008044CF"/>
    <w:rsid w:val="00804871"/>
    <w:rsid w:val="008050C9"/>
    <w:rsid w:val="00805E12"/>
    <w:rsid w:val="00806910"/>
    <w:rsid w:val="00807094"/>
    <w:rsid w:val="0081002A"/>
    <w:rsid w:val="00812A64"/>
    <w:rsid w:val="00812FE1"/>
    <w:rsid w:val="00813EFE"/>
    <w:rsid w:val="00815A87"/>
    <w:rsid w:val="00815D05"/>
    <w:rsid w:val="008167C1"/>
    <w:rsid w:val="00817734"/>
    <w:rsid w:val="00817854"/>
    <w:rsid w:val="008178CA"/>
    <w:rsid w:val="00820BF9"/>
    <w:rsid w:val="0082148B"/>
    <w:rsid w:val="00821962"/>
    <w:rsid w:val="00821F98"/>
    <w:rsid w:val="0082261C"/>
    <w:rsid w:val="00822A03"/>
    <w:rsid w:val="00825C5F"/>
    <w:rsid w:val="00831F00"/>
    <w:rsid w:val="008351FB"/>
    <w:rsid w:val="0083574F"/>
    <w:rsid w:val="00836567"/>
    <w:rsid w:val="008365C3"/>
    <w:rsid w:val="00836711"/>
    <w:rsid w:val="0083729E"/>
    <w:rsid w:val="00841B22"/>
    <w:rsid w:val="00841F8C"/>
    <w:rsid w:val="00842951"/>
    <w:rsid w:val="00842A98"/>
    <w:rsid w:val="008433A0"/>
    <w:rsid w:val="008441CE"/>
    <w:rsid w:val="00844249"/>
    <w:rsid w:val="00845C66"/>
    <w:rsid w:val="00850B58"/>
    <w:rsid w:val="00850DEA"/>
    <w:rsid w:val="008513A7"/>
    <w:rsid w:val="008566B2"/>
    <w:rsid w:val="00856E4B"/>
    <w:rsid w:val="00857008"/>
    <w:rsid w:val="0085714C"/>
    <w:rsid w:val="00857FE7"/>
    <w:rsid w:val="008602DF"/>
    <w:rsid w:val="0086247E"/>
    <w:rsid w:val="0086390E"/>
    <w:rsid w:val="008660E9"/>
    <w:rsid w:val="008662D2"/>
    <w:rsid w:val="008664E2"/>
    <w:rsid w:val="00866E4B"/>
    <w:rsid w:val="0087183B"/>
    <w:rsid w:val="00871AD1"/>
    <w:rsid w:val="00873A8F"/>
    <w:rsid w:val="00873D27"/>
    <w:rsid w:val="00875CCD"/>
    <w:rsid w:val="00877400"/>
    <w:rsid w:val="00877CDC"/>
    <w:rsid w:val="00882042"/>
    <w:rsid w:val="008824C9"/>
    <w:rsid w:val="00884BD1"/>
    <w:rsid w:val="0088605B"/>
    <w:rsid w:val="00886C82"/>
    <w:rsid w:val="00886F37"/>
    <w:rsid w:val="00887137"/>
    <w:rsid w:val="00890282"/>
    <w:rsid w:val="00890659"/>
    <w:rsid w:val="00890B77"/>
    <w:rsid w:val="008946C4"/>
    <w:rsid w:val="00894A13"/>
    <w:rsid w:val="00894B95"/>
    <w:rsid w:val="00894FCB"/>
    <w:rsid w:val="00895F31"/>
    <w:rsid w:val="00897F61"/>
    <w:rsid w:val="008A01A7"/>
    <w:rsid w:val="008A05B7"/>
    <w:rsid w:val="008A0A88"/>
    <w:rsid w:val="008A1C1A"/>
    <w:rsid w:val="008A34CA"/>
    <w:rsid w:val="008A3AAE"/>
    <w:rsid w:val="008A4B5C"/>
    <w:rsid w:val="008A4E64"/>
    <w:rsid w:val="008A522F"/>
    <w:rsid w:val="008A5815"/>
    <w:rsid w:val="008A687C"/>
    <w:rsid w:val="008B1978"/>
    <w:rsid w:val="008B19E3"/>
    <w:rsid w:val="008B25AA"/>
    <w:rsid w:val="008B38C1"/>
    <w:rsid w:val="008B3FE7"/>
    <w:rsid w:val="008B4ACD"/>
    <w:rsid w:val="008B5AA1"/>
    <w:rsid w:val="008B5E03"/>
    <w:rsid w:val="008B5F40"/>
    <w:rsid w:val="008B6907"/>
    <w:rsid w:val="008B6A24"/>
    <w:rsid w:val="008B6D9E"/>
    <w:rsid w:val="008B7A8D"/>
    <w:rsid w:val="008C09E1"/>
    <w:rsid w:val="008C10B3"/>
    <w:rsid w:val="008C194E"/>
    <w:rsid w:val="008C2E85"/>
    <w:rsid w:val="008C37B7"/>
    <w:rsid w:val="008C585F"/>
    <w:rsid w:val="008C6AD9"/>
    <w:rsid w:val="008C7C9C"/>
    <w:rsid w:val="008C7DF9"/>
    <w:rsid w:val="008D41AE"/>
    <w:rsid w:val="008D62C6"/>
    <w:rsid w:val="008D6560"/>
    <w:rsid w:val="008D6EAC"/>
    <w:rsid w:val="008E197F"/>
    <w:rsid w:val="008E5768"/>
    <w:rsid w:val="008F02AF"/>
    <w:rsid w:val="008F1DA8"/>
    <w:rsid w:val="008F2B60"/>
    <w:rsid w:val="008F329E"/>
    <w:rsid w:val="009017D1"/>
    <w:rsid w:val="009025D3"/>
    <w:rsid w:val="00902780"/>
    <w:rsid w:val="00904A6C"/>
    <w:rsid w:val="00905BFD"/>
    <w:rsid w:val="0091022F"/>
    <w:rsid w:val="009111D9"/>
    <w:rsid w:val="00911E0A"/>
    <w:rsid w:val="00911E82"/>
    <w:rsid w:val="00912D31"/>
    <w:rsid w:val="00913F02"/>
    <w:rsid w:val="0091642C"/>
    <w:rsid w:val="0091684C"/>
    <w:rsid w:val="00920677"/>
    <w:rsid w:val="00920C6D"/>
    <w:rsid w:val="009211DA"/>
    <w:rsid w:val="00923184"/>
    <w:rsid w:val="0092645F"/>
    <w:rsid w:val="0093026F"/>
    <w:rsid w:val="00930FD9"/>
    <w:rsid w:val="0093189D"/>
    <w:rsid w:val="00933849"/>
    <w:rsid w:val="009374DD"/>
    <w:rsid w:val="009403D5"/>
    <w:rsid w:val="00941BD4"/>
    <w:rsid w:val="00944ADB"/>
    <w:rsid w:val="00944C7C"/>
    <w:rsid w:val="0094627F"/>
    <w:rsid w:val="009479BF"/>
    <w:rsid w:val="0095226E"/>
    <w:rsid w:val="009525E1"/>
    <w:rsid w:val="00953272"/>
    <w:rsid w:val="00954AF0"/>
    <w:rsid w:val="009552F8"/>
    <w:rsid w:val="0095540C"/>
    <w:rsid w:val="00956E12"/>
    <w:rsid w:val="0096069C"/>
    <w:rsid w:val="009610A6"/>
    <w:rsid w:val="00963369"/>
    <w:rsid w:val="00965629"/>
    <w:rsid w:val="009670D6"/>
    <w:rsid w:val="00967F32"/>
    <w:rsid w:val="00970B6C"/>
    <w:rsid w:val="0097118B"/>
    <w:rsid w:val="00972776"/>
    <w:rsid w:val="0097379F"/>
    <w:rsid w:val="0097505F"/>
    <w:rsid w:val="00976756"/>
    <w:rsid w:val="00976A69"/>
    <w:rsid w:val="00980866"/>
    <w:rsid w:val="00980A10"/>
    <w:rsid w:val="00980E5E"/>
    <w:rsid w:val="00981266"/>
    <w:rsid w:val="00981842"/>
    <w:rsid w:val="00982CF8"/>
    <w:rsid w:val="00983B61"/>
    <w:rsid w:val="00984321"/>
    <w:rsid w:val="00984667"/>
    <w:rsid w:val="009856DA"/>
    <w:rsid w:val="00986409"/>
    <w:rsid w:val="00990918"/>
    <w:rsid w:val="00991E18"/>
    <w:rsid w:val="00993771"/>
    <w:rsid w:val="00994172"/>
    <w:rsid w:val="009953EB"/>
    <w:rsid w:val="009957F2"/>
    <w:rsid w:val="0099769F"/>
    <w:rsid w:val="009A26D1"/>
    <w:rsid w:val="009A28BE"/>
    <w:rsid w:val="009A4BD1"/>
    <w:rsid w:val="009A4D5F"/>
    <w:rsid w:val="009A58E0"/>
    <w:rsid w:val="009A6B06"/>
    <w:rsid w:val="009A6F6B"/>
    <w:rsid w:val="009A730F"/>
    <w:rsid w:val="009B0789"/>
    <w:rsid w:val="009B3069"/>
    <w:rsid w:val="009B40A3"/>
    <w:rsid w:val="009B49CD"/>
    <w:rsid w:val="009B4A3E"/>
    <w:rsid w:val="009B4FE4"/>
    <w:rsid w:val="009B5F64"/>
    <w:rsid w:val="009B6563"/>
    <w:rsid w:val="009C0AF7"/>
    <w:rsid w:val="009C0CA8"/>
    <w:rsid w:val="009C19D8"/>
    <w:rsid w:val="009C1E24"/>
    <w:rsid w:val="009C3072"/>
    <w:rsid w:val="009C6D3C"/>
    <w:rsid w:val="009D277A"/>
    <w:rsid w:val="009D582D"/>
    <w:rsid w:val="009D59DB"/>
    <w:rsid w:val="009D7AB1"/>
    <w:rsid w:val="009E17E6"/>
    <w:rsid w:val="009E1CE7"/>
    <w:rsid w:val="009E22F0"/>
    <w:rsid w:val="009E2B42"/>
    <w:rsid w:val="009E2E09"/>
    <w:rsid w:val="009E39C5"/>
    <w:rsid w:val="009E4A52"/>
    <w:rsid w:val="009E4D03"/>
    <w:rsid w:val="009F0485"/>
    <w:rsid w:val="009F4139"/>
    <w:rsid w:val="009F41C9"/>
    <w:rsid w:val="009F44F9"/>
    <w:rsid w:val="009F4B42"/>
    <w:rsid w:val="009F4FF0"/>
    <w:rsid w:val="009F553B"/>
    <w:rsid w:val="009F5D23"/>
    <w:rsid w:val="00A0173E"/>
    <w:rsid w:val="00A01D51"/>
    <w:rsid w:val="00A041F6"/>
    <w:rsid w:val="00A0591A"/>
    <w:rsid w:val="00A05C3A"/>
    <w:rsid w:val="00A06202"/>
    <w:rsid w:val="00A067C1"/>
    <w:rsid w:val="00A07E6A"/>
    <w:rsid w:val="00A10124"/>
    <w:rsid w:val="00A10847"/>
    <w:rsid w:val="00A12A75"/>
    <w:rsid w:val="00A1409E"/>
    <w:rsid w:val="00A144EE"/>
    <w:rsid w:val="00A155DD"/>
    <w:rsid w:val="00A159A2"/>
    <w:rsid w:val="00A15CB9"/>
    <w:rsid w:val="00A16962"/>
    <w:rsid w:val="00A22B3C"/>
    <w:rsid w:val="00A23EB7"/>
    <w:rsid w:val="00A256D0"/>
    <w:rsid w:val="00A25C00"/>
    <w:rsid w:val="00A26AC1"/>
    <w:rsid w:val="00A2778B"/>
    <w:rsid w:val="00A2786D"/>
    <w:rsid w:val="00A27DE4"/>
    <w:rsid w:val="00A27FDD"/>
    <w:rsid w:val="00A31D1A"/>
    <w:rsid w:val="00A32B15"/>
    <w:rsid w:val="00A34878"/>
    <w:rsid w:val="00A34AFD"/>
    <w:rsid w:val="00A366CB"/>
    <w:rsid w:val="00A36B76"/>
    <w:rsid w:val="00A372F0"/>
    <w:rsid w:val="00A4252B"/>
    <w:rsid w:val="00A4264E"/>
    <w:rsid w:val="00A43F13"/>
    <w:rsid w:val="00A443B3"/>
    <w:rsid w:val="00A443E4"/>
    <w:rsid w:val="00A44B59"/>
    <w:rsid w:val="00A4595E"/>
    <w:rsid w:val="00A46C56"/>
    <w:rsid w:val="00A474A0"/>
    <w:rsid w:val="00A47FA1"/>
    <w:rsid w:val="00A5179D"/>
    <w:rsid w:val="00A51A1A"/>
    <w:rsid w:val="00A5416F"/>
    <w:rsid w:val="00A54437"/>
    <w:rsid w:val="00A5660D"/>
    <w:rsid w:val="00A56727"/>
    <w:rsid w:val="00A609CF"/>
    <w:rsid w:val="00A61249"/>
    <w:rsid w:val="00A612DE"/>
    <w:rsid w:val="00A634A2"/>
    <w:rsid w:val="00A6443C"/>
    <w:rsid w:val="00A64ABA"/>
    <w:rsid w:val="00A650CA"/>
    <w:rsid w:val="00A65263"/>
    <w:rsid w:val="00A65711"/>
    <w:rsid w:val="00A66B94"/>
    <w:rsid w:val="00A701B8"/>
    <w:rsid w:val="00A7138B"/>
    <w:rsid w:val="00A728CC"/>
    <w:rsid w:val="00A72D67"/>
    <w:rsid w:val="00A73808"/>
    <w:rsid w:val="00A7433B"/>
    <w:rsid w:val="00A757ED"/>
    <w:rsid w:val="00A760E7"/>
    <w:rsid w:val="00A76D4A"/>
    <w:rsid w:val="00A779E3"/>
    <w:rsid w:val="00A81B3F"/>
    <w:rsid w:val="00A81FAE"/>
    <w:rsid w:val="00A843F8"/>
    <w:rsid w:val="00A84523"/>
    <w:rsid w:val="00A8580D"/>
    <w:rsid w:val="00A85CD4"/>
    <w:rsid w:val="00A90F60"/>
    <w:rsid w:val="00A91076"/>
    <w:rsid w:val="00A911B8"/>
    <w:rsid w:val="00A917D8"/>
    <w:rsid w:val="00A922B4"/>
    <w:rsid w:val="00A93C5A"/>
    <w:rsid w:val="00A93EC1"/>
    <w:rsid w:val="00A96A8B"/>
    <w:rsid w:val="00A96F0B"/>
    <w:rsid w:val="00AA077D"/>
    <w:rsid w:val="00AA2C15"/>
    <w:rsid w:val="00AA3AD2"/>
    <w:rsid w:val="00AA3C3C"/>
    <w:rsid w:val="00AA575C"/>
    <w:rsid w:val="00AA5FE7"/>
    <w:rsid w:val="00AA60E2"/>
    <w:rsid w:val="00AA70B7"/>
    <w:rsid w:val="00AB05D6"/>
    <w:rsid w:val="00AB4F0A"/>
    <w:rsid w:val="00AB556B"/>
    <w:rsid w:val="00AB74F6"/>
    <w:rsid w:val="00AC02C1"/>
    <w:rsid w:val="00AC0D88"/>
    <w:rsid w:val="00AC221E"/>
    <w:rsid w:val="00AC24B6"/>
    <w:rsid w:val="00AC30ED"/>
    <w:rsid w:val="00AC4280"/>
    <w:rsid w:val="00AC7BBF"/>
    <w:rsid w:val="00AD0357"/>
    <w:rsid w:val="00AD21DE"/>
    <w:rsid w:val="00AD2468"/>
    <w:rsid w:val="00AD38B0"/>
    <w:rsid w:val="00AD45A4"/>
    <w:rsid w:val="00AD4A77"/>
    <w:rsid w:val="00AD648F"/>
    <w:rsid w:val="00AD6FD7"/>
    <w:rsid w:val="00AD78B2"/>
    <w:rsid w:val="00AE1C02"/>
    <w:rsid w:val="00AE25F3"/>
    <w:rsid w:val="00AE2C77"/>
    <w:rsid w:val="00AE625C"/>
    <w:rsid w:val="00AE66A6"/>
    <w:rsid w:val="00AE7E8A"/>
    <w:rsid w:val="00AF011F"/>
    <w:rsid w:val="00AF0494"/>
    <w:rsid w:val="00AF1A9D"/>
    <w:rsid w:val="00AF1BA8"/>
    <w:rsid w:val="00AF1C3D"/>
    <w:rsid w:val="00AF1C76"/>
    <w:rsid w:val="00AF36A0"/>
    <w:rsid w:val="00AF377C"/>
    <w:rsid w:val="00AF3C4D"/>
    <w:rsid w:val="00AF41D2"/>
    <w:rsid w:val="00AF4815"/>
    <w:rsid w:val="00AF5FD7"/>
    <w:rsid w:val="00AF645B"/>
    <w:rsid w:val="00AF6DEF"/>
    <w:rsid w:val="00AF7A72"/>
    <w:rsid w:val="00B009A8"/>
    <w:rsid w:val="00B015C1"/>
    <w:rsid w:val="00B015FF"/>
    <w:rsid w:val="00B032F4"/>
    <w:rsid w:val="00B03C12"/>
    <w:rsid w:val="00B0775D"/>
    <w:rsid w:val="00B07E4A"/>
    <w:rsid w:val="00B10952"/>
    <w:rsid w:val="00B11B83"/>
    <w:rsid w:val="00B16472"/>
    <w:rsid w:val="00B167A8"/>
    <w:rsid w:val="00B218E3"/>
    <w:rsid w:val="00B23464"/>
    <w:rsid w:val="00B23FCC"/>
    <w:rsid w:val="00B24356"/>
    <w:rsid w:val="00B2523D"/>
    <w:rsid w:val="00B25CC2"/>
    <w:rsid w:val="00B30EA1"/>
    <w:rsid w:val="00B310EE"/>
    <w:rsid w:val="00B32367"/>
    <w:rsid w:val="00B32752"/>
    <w:rsid w:val="00B37112"/>
    <w:rsid w:val="00B409D1"/>
    <w:rsid w:val="00B4156F"/>
    <w:rsid w:val="00B42671"/>
    <w:rsid w:val="00B44FAF"/>
    <w:rsid w:val="00B4674B"/>
    <w:rsid w:val="00B46A02"/>
    <w:rsid w:val="00B47D51"/>
    <w:rsid w:val="00B50CF0"/>
    <w:rsid w:val="00B51135"/>
    <w:rsid w:val="00B51231"/>
    <w:rsid w:val="00B516E5"/>
    <w:rsid w:val="00B5345C"/>
    <w:rsid w:val="00B53C26"/>
    <w:rsid w:val="00B55097"/>
    <w:rsid w:val="00B57FA5"/>
    <w:rsid w:val="00B60352"/>
    <w:rsid w:val="00B61451"/>
    <w:rsid w:val="00B61BC6"/>
    <w:rsid w:val="00B62BBC"/>
    <w:rsid w:val="00B62DD1"/>
    <w:rsid w:val="00B63B6A"/>
    <w:rsid w:val="00B63FF0"/>
    <w:rsid w:val="00B6728C"/>
    <w:rsid w:val="00B704CD"/>
    <w:rsid w:val="00B71280"/>
    <w:rsid w:val="00B72353"/>
    <w:rsid w:val="00B72453"/>
    <w:rsid w:val="00B73232"/>
    <w:rsid w:val="00B75245"/>
    <w:rsid w:val="00B7552E"/>
    <w:rsid w:val="00B756C0"/>
    <w:rsid w:val="00B75899"/>
    <w:rsid w:val="00B77854"/>
    <w:rsid w:val="00B801A9"/>
    <w:rsid w:val="00B80F19"/>
    <w:rsid w:val="00B81497"/>
    <w:rsid w:val="00B83188"/>
    <w:rsid w:val="00B84C8B"/>
    <w:rsid w:val="00B85C28"/>
    <w:rsid w:val="00B9026D"/>
    <w:rsid w:val="00B907C8"/>
    <w:rsid w:val="00B91CF5"/>
    <w:rsid w:val="00B91FD1"/>
    <w:rsid w:val="00B92618"/>
    <w:rsid w:val="00B92D49"/>
    <w:rsid w:val="00B94A6E"/>
    <w:rsid w:val="00B96648"/>
    <w:rsid w:val="00B966BD"/>
    <w:rsid w:val="00B96E1B"/>
    <w:rsid w:val="00BA0057"/>
    <w:rsid w:val="00BA0B53"/>
    <w:rsid w:val="00BA1553"/>
    <w:rsid w:val="00BA1719"/>
    <w:rsid w:val="00BA2D6E"/>
    <w:rsid w:val="00BA3377"/>
    <w:rsid w:val="00BA3ED8"/>
    <w:rsid w:val="00BA556D"/>
    <w:rsid w:val="00BA6270"/>
    <w:rsid w:val="00BA67CD"/>
    <w:rsid w:val="00BB0E62"/>
    <w:rsid w:val="00BB1D3B"/>
    <w:rsid w:val="00BB20FC"/>
    <w:rsid w:val="00BB22B5"/>
    <w:rsid w:val="00BB3FEB"/>
    <w:rsid w:val="00BB472B"/>
    <w:rsid w:val="00BB4C96"/>
    <w:rsid w:val="00BB56B0"/>
    <w:rsid w:val="00BB5780"/>
    <w:rsid w:val="00BB6DCF"/>
    <w:rsid w:val="00BB71B1"/>
    <w:rsid w:val="00BC04E5"/>
    <w:rsid w:val="00BC0BDD"/>
    <w:rsid w:val="00BC1371"/>
    <w:rsid w:val="00BC1C60"/>
    <w:rsid w:val="00BC2A5C"/>
    <w:rsid w:val="00BC322F"/>
    <w:rsid w:val="00BC3DE1"/>
    <w:rsid w:val="00BC3FFD"/>
    <w:rsid w:val="00BC464C"/>
    <w:rsid w:val="00BC5CF5"/>
    <w:rsid w:val="00BC6034"/>
    <w:rsid w:val="00BC6971"/>
    <w:rsid w:val="00BC72CD"/>
    <w:rsid w:val="00BC7899"/>
    <w:rsid w:val="00BD3D04"/>
    <w:rsid w:val="00BD4473"/>
    <w:rsid w:val="00BD59CE"/>
    <w:rsid w:val="00BD7394"/>
    <w:rsid w:val="00BD7857"/>
    <w:rsid w:val="00BE1782"/>
    <w:rsid w:val="00BE1A45"/>
    <w:rsid w:val="00BE1A4A"/>
    <w:rsid w:val="00BE337B"/>
    <w:rsid w:val="00BE4295"/>
    <w:rsid w:val="00BE4D79"/>
    <w:rsid w:val="00BE5F95"/>
    <w:rsid w:val="00BE7246"/>
    <w:rsid w:val="00BE7427"/>
    <w:rsid w:val="00BF124C"/>
    <w:rsid w:val="00BF1C47"/>
    <w:rsid w:val="00BF5CF6"/>
    <w:rsid w:val="00BF5D5F"/>
    <w:rsid w:val="00BF7D83"/>
    <w:rsid w:val="00C01790"/>
    <w:rsid w:val="00C027FF"/>
    <w:rsid w:val="00C02A88"/>
    <w:rsid w:val="00C03039"/>
    <w:rsid w:val="00C04467"/>
    <w:rsid w:val="00C0463C"/>
    <w:rsid w:val="00C05CDE"/>
    <w:rsid w:val="00C0708F"/>
    <w:rsid w:val="00C070FC"/>
    <w:rsid w:val="00C0770B"/>
    <w:rsid w:val="00C07F2B"/>
    <w:rsid w:val="00C10AE5"/>
    <w:rsid w:val="00C12175"/>
    <w:rsid w:val="00C12CEE"/>
    <w:rsid w:val="00C13881"/>
    <w:rsid w:val="00C20C63"/>
    <w:rsid w:val="00C22B2F"/>
    <w:rsid w:val="00C22C6B"/>
    <w:rsid w:val="00C24AD4"/>
    <w:rsid w:val="00C25167"/>
    <w:rsid w:val="00C251D1"/>
    <w:rsid w:val="00C255B4"/>
    <w:rsid w:val="00C25A16"/>
    <w:rsid w:val="00C25D8C"/>
    <w:rsid w:val="00C27319"/>
    <w:rsid w:val="00C30143"/>
    <w:rsid w:val="00C303DE"/>
    <w:rsid w:val="00C30A60"/>
    <w:rsid w:val="00C3488F"/>
    <w:rsid w:val="00C34F36"/>
    <w:rsid w:val="00C350FC"/>
    <w:rsid w:val="00C35351"/>
    <w:rsid w:val="00C3755E"/>
    <w:rsid w:val="00C37611"/>
    <w:rsid w:val="00C40E0E"/>
    <w:rsid w:val="00C40FBE"/>
    <w:rsid w:val="00C4255D"/>
    <w:rsid w:val="00C42DA1"/>
    <w:rsid w:val="00C44868"/>
    <w:rsid w:val="00C450AB"/>
    <w:rsid w:val="00C45320"/>
    <w:rsid w:val="00C45E00"/>
    <w:rsid w:val="00C46016"/>
    <w:rsid w:val="00C461B0"/>
    <w:rsid w:val="00C46478"/>
    <w:rsid w:val="00C467E7"/>
    <w:rsid w:val="00C47CCF"/>
    <w:rsid w:val="00C47E7D"/>
    <w:rsid w:val="00C514A8"/>
    <w:rsid w:val="00C51849"/>
    <w:rsid w:val="00C518EB"/>
    <w:rsid w:val="00C521D6"/>
    <w:rsid w:val="00C5250C"/>
    <w:rsid w:val="00C52672"/>
    <w:rsid w:val="00C52BCE"/>
    <w:rsid w:val="00C53F66"/>
    <w:rsid w:val="00C555DA"/>
    <w:rsid w:val="00C55AC7"/>
    <w:rsid w:val="00C56B2A"/>
    <w:rsid w:val="00C56B8B"/>
    <w:rsid w:val="00C5737B"/>
    <w:rsid w:val="00C641FD"/>
    <w:rsid w:val="00C644EF"/>
    <w:rsid w:val="00C65E13"/>
    <w:rsid w:val="00C70067"/>
    <w:rsid w:val="00C70CB0"/>
    <w:rsid w:val="00C71AB0"/>
    <w:rsid w:val="00C75200"/>
    <w:rsid w:val="00C75472"/>
    <w:rsid w:val="00C765C5"/>
    <w:rsid w:val="00C77A14"/>
    <w:rsid w:val="00C77F90"/>
    <w:rsid w:val="00C82261"/>
    <w:rsid w:val="00C830E9"/>
    <w:rsid w:val="00C836D1"/>
    <w:rsid w:val="00C84874"/>
    <w:rsid w:val="00C85301"/>
    <w:rsid w:val="00C858EF"/>
    <w:rsid w:val="00C862C3"/>
    <w:rsid w:val="00C86E85"/>
    <w:rsid w:val="00C87575"/>
    <w:rsid w:val="00C906A2"/>
    <w:rsid w:val="00C908B3"/>
    <w:rsid w:val="00C923F4"/>
    <w:rsid w:val="00C9295D"/>
    <w:rsid w:val="00C93D03"/>
    <w:rsid w:val="00C94FA5"/>
    <w:rsid w:val="00C959BE"/>
    <w:rsid w:val="00C97309"/>
    <w:rsid w:val="00CA0BEB"/>
    <w:rsid w:val="00CA0DE0"/>
    <w:rsid w:val="00CA2431"/>
    <w:rsid w:val="00CB0578"/>
    <w:rsid w:val="00CB1D90"/>
    <w:rsid w:val="00CB35F1"/>
    <w:rsid w:val="00CB5BD4"/>
    <w:rsid w:val="00CB5D50"/>
    <w:rsid w:val="00CB697E"/>
    <w:rsid w:val="00CB6FF5"/>
    <w:rsid w:val="00CC0173"/>
    <w:rsid w:val="00CC2411"/>
    <w:rsid w:val="00CC3CEE"/>
    <w:rsid w:val="00CC3DA0"/>
    <w:rsid w:val="00CC558D"/>
    <w:rsid w:val="00CC5F67"/>
    <w:rsid w:val="00CD0CBF"/>
    <w:rsid w:val="00CD1344"/>
    <w:rsid w:val="00CD18F2"/>
    <w:rsid w:val="00CD2096"/>
    <w:rsid w:val="00CD39AC"/>
    <w:rsid w:val="00CD4270"/>
    <w:rsid w:val="00CD5EE4"/>
    <w:rsid w:val="00CD653B"/>
    <w:rsid w:val="00CD6DBB"/>
    <w:rsid w:val="00CD6F2A"/>
    <w:rsid w:val="00CD6FAC"/>
    <w:rsid w:val="00CD7042"/>
    <w:rsid w:val="00CE0DD5"/>
    <w:rsid w:val="00CE0E19"/>
    <w:rsid w:val="00CE1816"/>
    <w:rsid w:val="00CE199C"/>
    <w:rsid w:val="00CE37C8"/>
    <w:rsid w:val="00CE468F"/>
    <w:rsid w:val="00CE469D"/>
    <w:rsid w:val="00CE4B71"/>
    <w:rsid w:val="00CE4D06"/>
    <w:rsid w:val="00CE5176"/>
    <w:rsid w:val="00CE5439"/>
    <w:rsid w:val="00CE54E6"/>
    <w:rsid w:val="00CF069F"/>
    <w:rsid w:val="00CF2618"/>
    <w:rsid w:val="00CF353E"/>
    <w:rsid w:val="00CF63CD"/>
    <w:rsid w:val="00D010E3"/>
    <w:rsid w:val="00D0123F"/>
    <w:rsid w:val="00D01F63"/>
    <w:rsid w:val="00D02FF2"/>
    <w:rsid w:val="00D0417F"/>
    <w:rsid w:val="00D05C82"/>
    <w:rsid w:val="00D06811"/>
    <w:rsid w:val="00D06FC7"/>
    <w:rsid w:val="00D07DBA"/>
    <w:rsid w:val="00D1052D"/>
    <w:rsid w:val="00D108CF"/>
    <w:rsid w:val="00D11541"/>
    <w:rsid w:val="00D11576"/>
    <w:rsid w:val="00D12CFA"/>
    <w:rsid w:val="00D13953"/>
    <w:rsid w:val="00D13F76"/>
    <w:rsid w:val="00D14AF1"/>
    <w:rsid w:val="00D174B6"/>
    <w:rsid w:val="00D21F58"/>
    <w:rsid w:val="00D21FB4"/>
    <w:rsid w:val="00D21FE4"/>
    <w:rsid w:val="00D23DF7"/>
    <w:rsid w:val="00D23EEA"/>
    <w:rsid w:val="00D24904"/>
    <w:rsid w:val="00D25F12"/>
    <w:rsid w:val="00D26932"/>
    <w:rsid w:val="00D26B99"/>
    <w:rsid w:val="00D277E4"/>
    <w:rsid w:val="00D3146F"/>
    <w:rsid w:val="00D32502"/>
    <w:rsid w:val="00D33890"/>
    <w:rsid w:val="00D342DB"/>
    <w:rsid w:val="00D37372"/>
    <w:rsid w:val="00D407FA"/>
    <w:rsid w:val="00D40E6D"/>
    <w:rsid w:val="00D435D1"/>
    <w:rsid w:val="00D43A22"/>
    <w:rsid w:val="00D47B96"/>
    <w:rsid w:val="00D50238"/>
    <w:rsid w:val="00D5099E"/>
    <w:rsid w:val="00D50D2E"/>
    <w:rsid w:val="00D51042"/>
    <w:rsid w:val="00D51EE2"/>
    <w:rsid w:val="00D522C6"/>
    <w:rsid w:val="00D52A19"/>
    <w:rsid w:val="00D52D57"/>
    <w:rsid w:val="00D52F2B"/>
    <w:rsid w:val="00D539CB"/>
    <w:rsid w:val="00D543EE"/>
    <w:rsid w:val="00D56D6B"/>
    <w:rsid w:val="00D5799B"/>
    <w:rsid w:val="00D579F8"/>
    <w:rsid w:val="00D57BC1"/>
    <w:rsid w:val="00D60F6E"/>
    <w:rsid w:val="00D61FC6"/>
    <w:rsid w:val="00D6567D"/>
    <w:rsid w:val="00D6756A"/>
    <w:rsid w:val="00D67BBE"/>
    <w:rsid w:val="00D67FDF"/>
    <w:rsid w:val="00D72DE6"/>
    <w:rsid w:val="00D72EC1"/>
    <w:rsid w:val="00D76A3B"/>
    <w:rsid w:val="00D7705A"/>
    <w:rsid w:val="00D77A2B"/>
    <w:rsid w:val="00D77DC5"/>
    <w:rsid w:val="00D80491"/>
    <w:rsid w:val="00D80CA6"/>
    <w:rsid w:val="00D819BD"/>
    <w:rsid w:val="00D81DA9"/>
    <w:rsid w:val="00D81EA3"/>
    <w:rsid w:val="00D83751"/>
    <w:rsid w:val="00D84259"/>
    <w:rsid w:val="00D84DFE"/>
    <w:rsid w:val="00D84FBE"/>
    <w:rsid w:val="00D858D6"/>
    <w:rsid w:val="00D86E6F"/>
    <w:rsid w:val="00D905D3"/>
    <w:rsid w:val="00D91001"/>
    <w:rsid w:val="00D9169F"/>
    <w:rsid w:val="00D91AEB"/>
    <w:rsid w:val="00D91C9A"/>
    <w:rsid w:val="00D94CCA"/>
    <w:rsid w:val="00D96042"/>
    <w:rsid w:val="00D963E2"/>
    <w:rsid w:val="00D96575"/>
    <w:rsid w:val="00D97BEA"/>
    <w:rsid w:val="00DA2435"/>
    <w:rsid w:val="00DA2BDE"/>
    <w:rsid w:val="00DA38F8"/>
    <w:rsid w:val="00DA39C4"/>
    <w:rsid w:val="00DA4423"/>
    <w:rsid w:val="00DA48AC"/>
    <w:rsid w:val="00DB1789"/>
    <w:rsid w:val="00DB215A"/>
    <w:rsid w:val="00DB216D"/>
    <w:rsid w:val="00DB3C19"/>
    <w:rsid w:val="00DB4705"/>
    <w:rsid w:val="00DB4A27"/>
    <w:rsid w:val="00DB5CBE"/>
    <w:rsid w:val="00DC08B1"/>
    <w:rsid w:val="00DC0C2B"/>
    <w:rsid w:val="00DC0EC1"/>
    <w:rsid w:val="00DC1BBC"/>
    <w:rsid w:val="00DC1CA0"/>
    <w:rsid w:val="00DC2C7B"/>
    <w:rsid w:val="00DC39E0"/>
    <w:rsid w:val="00DC48DA"/>
    <w:rsid w:val="00DC4EC1"/>
    <w:rsid w:val="00DC5189"/>
    <w:rsid w:val="00DC634A"/>
    <w:rsid w:val="00DC6547"/>
    <w:rsid w:val="00DC6E8A"/>
    <w:rsid w:val="00DC7F89"/>
    <w:rsid w:val="00DD3AB8"/>
    <w:rsid w:val="00DD3C0C"/>
    <w:rsid w:val="00DD42CF"/>
    <w:rsid w:val="00DD4972"/>
    <w:rsid w:val="00DD5470"/>
    <w:rsid w:val="00DD5F3C"/>
    <w:rsid w:val="00DD6F75"/>
    <w:rsid w:val="00DD7280"/>
    <w:rsid w:val="00DD740A"/>
    <w:rsid w:val="00DE036D"/>
    <w:rsid w:val="00DE0AE1"/>
    <w:rsid w:val="00DE0B2D"/>
    <w:rsid w:val="00DE3FC8"/>
    <w:rsid w:val="00DE42D3"/>
    <w:rsid w:val="00DE4696"/>
    <w:rsid w:val="00DE5E14"/>
    <w:rsid w:val="00DE60A8"/>
    <w:rsid w:val="00DE6951"/>
    <w:rsid w:val="00DE75BB"/>
    <w:rsid w:val="00DF00E1"/>
    <w:rsid w:val="00DF0779"/>
    <w:rsid w:val="00DF222A"/>
    <w:rsid w:val="00DF3013"/>
    <w:rsid w:val="00DF3184"/>
    <w:rsid w:val="00DF38C2"/>
    <w:rsid w:val="00DF38DB"/>
    <w:rsid w:val="00DF42BB"/>
    <w:rsid w:val="00DF4923"/>
    <w:rsid w:val="00DF4B90"/>
    <w:rsid w:val="00DF6957"/>
    <w:rsid w:val="00DF7258"/>
    <w:rsid w:val="00E009E3"/>
    <w:rsid w:val="00E00B08"/>
    <w:rsid w:val="00E00BD2"/>
    <w:rsid w:val="00E0118B"/>
    <w:rsid w:val="00E022B1"/>
    <w:rsid w:val="00E04E9F"/>
    <w:rsid w:val="00E05576"/>
    <w:rsid w:val="00E06231"/>
    <w:rsid w:val="00E07167"/>
    <w:rsid w:val="00E07BCF"/>
    <w:rsid w:val="00E07E34"/>
    <w:rsid w:val="00E10BCA"/>
    <w:rsid w:val="00E119D3"/>
    <w:rsid w:val="00E12ABC"/>
    <w:rsid w:val="00E12E4C"/>
    <w:rsid w:val="00E1373E"/>
    <w:rsid w:val="00E14CF6"/>
    <w:rsid w:val="00E16140"/>
    <w:rsid w:val="00E17EF7"/>
    <w:rsid w:val="00E20FAD"/>
    <w:rsid w:val="00E21474"/>
    <w:rsid w:val="00E2191C"/>
    <w:rsid w:val="00E22959"/>
    <w:rsid w:val="00E23A1F"/>
    <w:rsid w:val="00E24549"/>
    <w:rsid w:val="00E2509F"/>
    <w:rsid w:val="00E25594"/>
    <w:rsid w:val="00E25EB9"/>
    <w:rsid w:val="00E2648E"/>
    <w:rsid w:val="00E30DEB"/>
    <w:rsid w:val="00E3112A"/>
    <w:rsid w:val="00E32AF7"/>
    <w:rsid w:val="00E3372F"/>
    <w:rsid w:val="00E33889"/>
    <w:rsid w:val="00E34228"/>
    <w:rsid w:val="00E34817"/>
    <w:rsid w:val="00E36611"/>
    <w:rsid w:val="00E36F16"/>
    <w:rsid w:val="00E4066B"/>
    <w:rsid w:val="00E41444"/>
    <w:rsid w:val="00E41761"/>
    <w:rsid w:val="00E45197"/>
    <w:rsid w:val="00E46430"/>
    <w:rsid w:val="00E469E9"/>
    <w:rsid w:val="00E50AD6"/>
    <w:rsid w:val="00E513BB"/>
    <w:rsid w:val="00E51CE6"/>
    <w:rsid w:val="00E52137"/>
    <w:rsid w:val="00E53F9F"/>
    <w:rsid w:val="00E57DAD"/>
    <w:rsid w:val="00E601DA"/>
    <w:rsid w:val="00E61DAF"/>
    <w:rsid w:val="00E625AC"/>
    <w:rsid w:val="00E63833"/>
    <w:rsid w:val="00E64542"/>
    <w:rsid w:val="00E6564E"/>
    <w:rsid w:val="00E65A20"/>
    <w:rsid w:val="00E6664F"/>
    <w:rsid w:val="00E67AE7"/>
    <w:rsid w:val="00E67E43"/>
    <w:rsid w:val="00E7381C"/>
    <w:rsid w:val="00E738A2"/>
    <w:rsid w:val="00E753DA"/>
    <w:rsid w:val="00E765C4"/>
    <w:rsid w:val="00E765CF"/>
    <w:rsid w:val="00E76863"/>
    <w:rsid w:val="00E76D9D"/>
    <w:rsid w:val="00E76E98"/>
    <w:rsid w:val="00E775EE"/>
    <w:rsid w:val="00E77A06"/>
    <w:rsid w:val="00E77ED8"/>
    <w:rsid w:val="00E811D0"/>
    <w:rsid w:val="00E81476"/>
    <w:rsid w:val="00E81F2D"/>
    <w:rsid w:val="00E829B4"/>
    <w:rsid w:val="00E82EAF"/>
    <w:rsid w:val="00E8329F"/>
    <w:rsid w:val="00E83A70"/>
    <w:rsid w:val="00E846F5"/>
    <w:rsid w:val="00E855E2"/>
    <w:rsid w:val="00E85783"/>
    <w:rsid w:val="00E862A1"/>
    <w:rsid w:val="00E86617"/>
    <w:rsid w:val="00E877C9"/>
    <w:rsid w:val="00E903F6"/>
    <w:rsid w:val="00E90492"/>
    <w:rsid w:val="00E904A6"/>
    <w:rsid w:val="00E92592"/>
    <w:rsid w:val="00E94417"/>
    <w:rsid w:val="00E94A02"/>
    <w:rsid w:val="00E94C84"/>
    <w:rsid w:val="00E97107"/>
    <w:rsid w:val="00EA1D9B"/>
    <w:rsid w:val="00EA1DE8"/>
    <w:rsid w:val="00EA306B"/>
    <w:rsid w:val="00EA40F4"/>
    <w:rsid w:val="00EA497C"/>
    <w:rsid w:val="00EA5147"/>
    <w:rsid w:val="00EA7053"/>
    <w:rsid w:val="00EA79DF"/>
    <w:rsid w:val="00EA7D81"/>
    <w:rsid w:val="00EB0310"/>
    <w:rsid w:val="00EB234E"/>
    <w:rsid w:val="00EB3242"/>
    <w:rsid w:val="00EB3723"/>
    <w:rsid w:val="00EB47B4"/>
    <w:rsid w:val="00EB6FD4"/>
    <w:rsid w:val="00EB72DB"/>
    <w:rsid w:val="00EB77C6"/>
    <w:rsid w:val="00EC0B9E"/>
    <w:rsid w:val="00EC18A3"/>
    <w:rsid w:val="00EC25C6"/>
    <w:rsid w:val="00EC3259"/>
    <w:rsid w:val="00EC482E"/>
    <w:rsid w:val="00EC59B1"/>
    <w:rsid w:val="00EC6327"/>
    <w:rsid w:val="00EC6ED0"/>
    <w:rsid w:val="00ED1362"/>
    <w:rsid w:val="00ED4C78"/>
    <w:rsid w:val="00ED519B"/>
    <w:rsid w:val="00ED5788"/>
    <w:rsid w:val="00ED77AD"/>
    <w:rsid w:val="00EE007E"/>
    <w:rsid w:val="00EE0376"/>
    <w:rsid w:val="00EE0467"/>
    <w:rsid w:val="00EE097B"/>
    <w:rsid w:val="00EE11A9"/>
    <w:rsid w:val="00EE34A5"/>
    <w:rsid w:val="00EE4B7A"/>
    <w:rsid w:val="00EE4F2A"/>
    <w:rsid w:val="00EE67D9"/>
    <w:rsid w:val="00EE7936"/>
    <w:rsid w:val="00EE7BEB"/>
    <w:rsid w:val="00EF0675"/>
    <w:rsid w:val="00EF1FC5"/>
    <w:rsid w:val="00EF2B45"/>
    <w:rsid w:val="00EF34D0"/>
    <w:rsid w:val="00EF3DA1"/>
    <w:rsid w:val="00EF4513"/>
    <w:rsid w:val="00EF5F4D"/>
    <w:rsid w:val="00EF7B2C"/>
    <w:rsid w:val="00EF7D67"/>
    <w:rsid w:val="00F02FF5"/>
    <w:rsid w:val="00F04541"/>
    <w:rsid w:val="00F0507E"/>
    <w:rsid w:val="00F06B15"/>
    <w:rsid w:val="00F071F2"/>
    <w:rsid w:val="00F10B45"/>
    <w:rsid w:val="00F113A3"/>
    <w:rsid w:val="00F1361E"/>
    <w:rsid w:val="00F14DB8"/>
    <w:rsid w:val="00F17BB0"/>
    <w:rsid w:val="00F21F0C"/>
    <w:rsid w:val="00F231A5"/>
    <w:rsid w:val="00F23F96"/>
    <w:rsid w:val="00F2790E"/>
    <w:rsid w:val="00F279F2"/>
    <w:rsid w:val="00F27A44"/>
    <w:rsid w:val="00F31036"/>
    <w:rsid w:val="00F3199A"/>
    <w:rsid w:val="00F321A0"/>
    <w:rsid w:val="00F343E3"/>
    <w:rsid w:val="00F353CA"/>
    <w:rsid w:val="00F35A3A"/>
    <w:rsid w:val="00F37182"/>
    <w:rsid w:val="00F37589"/>
    <w:rsid w:val="00F40CD1"/>
    <w:rsid w:val="00F418A0"/>
    <w:rsid w:val="00F427F0"/>
    <w:rsid w:val="00F43D70"/>
    <w:rsid w:val="00F444C5"/>
    <w:rsid w:val="00F44756"/>
    <w:rsid w:val="00F44F63"/>
    <w:rsid w:val="00F477C8"/>
    <w:rsid w:val="00F50249"/>
    <w:rsid w:val="00F5024A"/>
    <w:rsid w:val="00F512FE"/>
    <w:rsid w:val="00F51A52"/>
    <w:rsid w:val="00F53733"/>
    <w:rsid w:val="00F54B76"/>
    <w:rsid w:val="00F550E6"/>
    <w:rsid w:val="00F5549E"/>
    <w:rsid w:val="00F563E8"/>
    <w:rsid w:val="00F5653E"/>
    <w:rsid w:val="00F57A46"/>
    <w:rsid w:val="00F61160"/>
    <w:rsid w:val="00F6221D"/>
    <w:rsid w:val="00F62A40"/>
    <w:rsid w:val="00F63545"/>
    <w:rsid w:val="00F64ADB"/>
    <w:rsid w:val="00F6523F"/>
    <w:rsid w:val="00F652B2"/>
    <w:rsid w:val="00F67ABF"/>
    <w:rsid w:val="00F71747"/>
    <w:rsid w:val="00F72ECC"/>
    <w:rsid w:val="00F74FF0"/>
    <w:rsid w:val="00F77BF9"/>
    <w:rsid w:val="00F77DC0"/>
    <w:rsid w:val="00F818BA"/>
    <w:rsid w:val="00F81B76"/>
    <w:rsid w:val="00F8267B"/>
    <w:rsid w:val="00F82BAF"/>
    <w:rsid w:val="00F8363E"/>
    <w:rsid w:val="00F83B13"/>
    <w:rsid w:val="00F8686E"/>
    <w:rsid w:val="00F91470"/>
    <w:rsid w:val="00F922D5"/>
    <w:rsid w:val="00F92BE5"/>
    <w:rsid w:val="00F935DE"/>
    <w:rsid w:val="00F942A2"/>
    <w:rsid w:val="00F94498"/>
    <w:rsid w:val="00F9568A"/>
    <w:rsid w:val="00F95B00"/>
    <w:rsid w:val="00F9625B"/>
    <w:rsid w:val="00F978E4"/>
    <w:rsid w:val="00FA002A"/>
    <w:rsid w:val="00FA1188"/>
    <w:rsid w:val="00FA1FC0"/>
    <w:rsid w:val="00FA2B87"/>
    <w:rsid w:val="00FA4368"/>
    <w:rsid w:val="00FA5CB0"/>
    <w:rsid w:val="00FB202F"/>
    <w:rsid w:val="00FB24DA"/>
    <w:rsid w:val="00FB4DD6"/>
    <w:rsid w:val="00FB5210"/>
    <w:rsid w:val="00FB7799"/>
    <w:rsid w:val="00FC0F45"/>
    <w:rsid w:val="00FC20CC"/>
    <w:rsid w:val="00FC4B2E"/>
    <w:rsid w:val="00FC6250"/>
    <w:rsid w:val="00FC7C16"/>
    <w:rsid w:val="00FD145B"/>
    <w:rsid w:val="00FD4881"/>
    <w:rsid w:val="00FD54E4"/>
    <w:rsid w:val="00FD6DF6"/>
    <w:rsid w:val="00FE0814"/>
    <w:rsid w:val="00FE24FC"/>
    <w:rsid w:val="00FE4813"/>
    <w:rsid w:val="00FE4A0E"/>
    <w:rsid w:val="00FE4C23"/>
    <w:rsid w:val="00FF043D"/>
    <w:rsid w:val="00FF34E5"/>
    <w:rsid w:val="00FF36AB"/>
    <w:rsid w:val="00FF39DB"/>
    <w:rsid w:val="00FF49B5"/>
    <w:rsid w:val="00FF53DD"/>
    <w:rsid w:val="00FF7400"/>
    <w:rsid w:val="00FF7B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08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A83"/>
  </w:style>
  <w:style w:type="paragraph" w:styleId="Heading1">
    <w:name w:val="heading 1"/>
    <w:basedOn w:val="Normal"/>
    <w:next w:val="Normal"/>
    <w:link w:val="Heading1Char"/>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Heading2">
    <w:name w:val="heading 2"/>
    <w:basedOn w:val="Normal"/>
    <w:next w:val="Normal"/>
    <w:link w:val="Heading2Char"/>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Heading3">
    <w:name w:val="heading 3"/>
    <w:basedOn w:val="Normal"/>
    <w:next w:val="Normal"/>
    <w:link w:val="Heading3Char"/>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Heading4">
    <w:name w:val="heading 4"/>
    <w:basedOn w:val="Normal"/>
    <w:next w:val="Normal"/>
    <w:link w:val="Heading4Char"/>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unhideWhenUsed/>
    <w:rsid w:val="005C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4E0D"/>
    <w:rPr>
      <w:rFonts w:ascii="Tahoma" w:hAnsi="Tahoma" w:cs="Tahoma"/>
      <w:sz w:val="16"/>
      <w:szCs w:val="16"/>
    </w:rPr>
  </w:style>
  <w:style w:type="paragraph" w:styleId="ListParagraph">
    <w:name w:val="List Paragraph"/>
    <w:aliases w:val="List Paragraph1,List1,Списък на абзаци,List Paragraph11,List Paragraph111,Colorful List - Accent 11,List Paragraph1111,List Paragraph compact,Normal bullet 2,Paragraphe de liste 2,Reference list,Bullet list,Numbered List,Paragraph,Bullet "/>
    <w:basedOn w:val="Normal"/>
    <w:link w:val="ListParagraphChar"/>
    <w:uiPriority w:val="34"/>
    <w:qFormat/>
    <w:rsid w:val="005C4E0D"/>
    <w:pPr>
      <w:ind w:left="720"/>
      <w:contextualSpacing/>
    </w:pPr>
  </w:style>
  <w:style w:type="table" w:styleId="TableGrid">
    <w:name w:val="Table Grid"/>
    <w:basedOn w:val="TableNormal"/>
    <w:uiPriority w:val="59"/>
    <w:rsid w:val="00890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A84523"/>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A84523"/>
    <w:rPr>
      <w:rFonts w:ascii="Calibri" w:eastAsia="Times New Roman" w:hAnsi="Calibri" w:cs="Times New Roman"/>
      <w:sz w:val="20"/>
      <w:szCs w:val="20"/>
    </w:rPr>
  </w:style>
  <w:style w:type="paragraph" w:customStyle="1" w:styleId="title1">
    <w:name w:val="title1"/>
    <w:basedOn w:val="Normal"/>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Normal"/>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DefaultParagraphFont"/>
    <w:uiPriority w:val="99"/>
    <w:rsid w:val="00781848"/>
    <w:rPr>
      <w:rFonts w:cs="Times New Roman"/>
      <w:shd w:val="clear" w:color="auto" w:fill="FFFF66"/>
    </w:rPr>
  </w:style>
  <w:style w:type="character" w:customStyle="1" w:styleId="search22">
    <w:name w:val="search22"/>
    <w:basedOn w:val="DefaultParagraphFont"/>
    <w:uiPriority w:val="99"/>
    <w:rsid w:val="00781848"/>
    <w:rPr>
      <w:rFonts w:cs="Times New Roman"/>
      <w:shd w:val="clear" w:color="auto" w:fill="FF9999"/>
    </w:rPr>
  </w:style>
  <w:style w:type="character" w:customStyle="1" w:styleId="historyitemselected1">
    <w:name w:val="historyitemselected1"/>
    <w:basedOn w:val="DefaultParagraphFont"/>
    <w:uiPriority w:val="99"/>
    <w:rsid w:val="00781848"/>
    <w:rPr>
      <w:rFonts w:cs="Times New Roman"/>
      <w:b/>
      <w:bCs/>
      <w:color w:val="0086C6"/>
    </w:rPr>
  </w:style>
  <w:style w:type="character" w:customStyle="1" w:styleId="CommentSubjectChar">
    <w:name w:val="Comment Subject Char"/>
    <w:basedOn w:val="CommentTextChar"/>
    <w:link w:val="CommentSubject"/>
    <w:uiPriority w:val="99"/>
    <w:rsid w:val="00781848"/>
    <w:rPr>
      <w:rFonts w:ascii="Times New Roman" w:eastAsia="Times New Roman" w:hAnsi="Times New Roman" w:cs="Times New Roman"/>
      <w:b/>
      <w:bCs/>
      <w:sz w:val="20"/>
      <w:szCs w:val="20"/>
      <w:lang w:eastAsia="bg-BG"/>
    </w:rPr>
  </w:style>
  <w:style w:type="paragraph" w:styleId="CommentSubject">
    <w:name w:val="annotation subject"/>
    <w:basedOn w:val="CommentText"/>
    <w:next w:val="CommentText"/>
    <w:link w:val="CommentSubjectChar"/>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
    <w:name w:val="Основен текст_"/>
    <w:link w:val="a0"/>
    <w:uiPriority w:val="99"/>
    <w:locked/>
    <w:rsid w:val="00781848"/>
    <w:rPr>
      <w:sz w:val="23"/>
      <w:shd w:val="clear" w:color="auto" w:fill="FFFFFF"/>
    </w:rPr>
  </w:style>
  <w:style w:type="paragraph" w:customStyle="1" w:styleId="a0">
    <w:name w:val="Основен текст"/>
    <w:basedOn w:val="Normal"/>
    <w:link w:val="a"/>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DefaultParagraphFont"/>
    <w:uiPriority w:val="99"/>
    <w:rsid w:val="00781848"/>
    <w:rPr>
      <w:rFonts w:cs="Times New Roman"/>
      <w:shd w:val="clear" w:color="auto" w:fill="CCFF99"/>
    </w:rPr>
  </w:style>
  <w:style w:type="character" w:styleId="Hyperlink">
    <w:name w:val="Hyperlink"/>
    <w:basedOn w:val="DefaultParagraphFont"/>
    <w:unhideWhenUsed/>
    <w:rsid w:val="00781848"/>
    <w:rPr>
      <w:rFonts w:cs="Times New Roman"/>
      <w:color w:val="000000"/>
      <w:u w:val="none"/>
      <w:effect w:val="none"/>
    </w:rPr>
  </w:style>
  <w:style w:type="character" w:customStyle="1" w:styleId="spelle">
    <w:name w:val="spelle"/>
    <w:rsid w:val="00781848"/>
  </w:style>
  <w:style w:type="character" w:styleId="CommentReference">
    <w:name w:val="annotation reference"/>
    <w:basedOn w:val="DefaultParagraphFont"/>
    <w:uiPriority w:val="99"/>
    <w:unhideWhenUsed/>
    <w:rsid w:val="007E7C5A"/>
    <w:rPr>
      <w:sz w:val="16"/>
      <w:szCs w:val="16"/>
    </w:rPr>
  </w:style>
  <w:style w:type="paragraph" w:styleId="Revision">
    <w:name w:val="Revision"/>
    <w:hidden/>
    <w:uiPriority w:val="99"/>
    <w:semiHidden/>
    <w:rsid w:val="00233C85"/>
    <w:pPr>
      <w:spacing w:after="0" w:line="240" w:lineRule="auto"/>
    </w:pPr>
  </w:style>
  <w:style w:type="character" w:customStyle="1" w:styleId="Heading1Char">
    <w:name w:val="Heading 1 Char"/>
    <w:basedOn w:val="DefaultParagraphFont"/>
    <w:link w:val="Heading1"/>
    <w:rsid w:val="0075789F"/>
    <w:rPr>
      <w:rFonts w:ascii="Cambria" w:eastAsia="Times New Roman" w:hAnsi="Cambria" w:cs="Times New Roman"/>
      <w:b/>
      <w:kern w:val="32"/>
      <w:sz w:val="32"/>
      <w:szCs w:val="20"/>
      <w:lang w:eastAsia="bg-BG"/>
    </w:rPr>
  </w:style>
  <w:style w:type="character" w:customStyle="1" w:styleId="Heading3Char">
    <w:name w:val="Heading 3 Char"/>
    <w:basedOn w:val="DefaultParagraphFont"/>
    <w:link w:val="Heading3"/>
    <w:rsid w:val="0075789F"/>
    <w:rPr>
      <w:rFonts w:ascii="Cambria" w:eastAsia="Times New Roman" w:hAnsi="Cambria" w:cs="Times New Roman"/>
      <w:b/>
      <w:bCs/>
      <w:sz w:val="26"/>
      <w:szCs w:val="26"/>
      <w:lang w:val="en-GB" w:eastAsia="fr-FR"/>
    </w:rPr>
  </w:style>
  <w:style w:type="numbering" w:customStyle="1" w:styleId="NoList1">
    <w:name w:val="No List1"/>
    <w:next w:val="NoList"/>
    <w:semiHidden/>
    <w:unhideWhenUsed/>
    <w:rsid w:val="0075789F"/>
  </w:style>
  <w:style w:type="paragraph" w:styleId="Header">
    <w:name w:val="header"/>
    <w:basedOn w:val="Normal"/>
    <w:link w:val="Head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TableNormal"/>
    <w:next w:val="TableGrid"/>
    <w:uiPriority w:val="39"/>
    <w:rsid w:val="0075789F"/>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FooterChar">
    <w:name w:val="Footer Char"/>
    <w:basedOn w:val="DefaultParagraphFont"/>
    <w:link w:val="Footer"/>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
    <w:name w:val="1"/>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Car Car"/>
    <w:basedOn w:val="Normal"/>
    <w:link w:val="FootnoteTextChar"/>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75789F"/>
    <w:rPr>
      <w:rFonts w:ascii="Times New Roman" w:eastAsia="Times New Roman" w:hAnsi="Times New Roman" w:cs="Times New Roman"/>
      <w:sz w:val="20"/>
      <w:szCs w:val="20"/>
      <w:lang w:val="en-GB" w:eastAsia="fr-FR"/>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75789F"/>
    <w:rPr>
      <w:vertAlign w:val="superscript"/>
    </w:rPr>
  </w:style>
  <w:style w:type="character" w:styleId="PageNumber">
    <w:name w:val="page number"/>
    <w:rsid w:val="0075789F"/>
  </w:style>
  <w:style w:type="paragraph" w:customStyle="1" w:styleId="CharCharCharCharCharCharCharCharCharCharCharCharChar">
    <w:name w:val="Char Char Char Char Char Char Char Char Char Char Char Char Char"/>
    <w:basedOn w:val="Normal"/>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8662D2"/>
    <w:rPr>
      <w:rFonts w:ascii="Times New Roman" w:eastAsia="Times New Roman" w:hAnsi="Times New Roman" w:cs="Times New Roman"/>
      <w:sz w:val="20"/>
      <w:szCs w:val="20"/>
      <w:u w:val="single"/>
    </w:rPr>
  </w:style>
  <w:style w:type="character" w:customStyle="1" w:styleId="Heading4Char">
    <w:name w:val="Heading 4 Char"/>
    <w:basedOn w:val="DefaultParagraphFont"/>
    <w:link w:val="Heading4"/>
    <w:rsid w:val="008662D2"/>
    <w:rPr>
      <w:rFonts w:ascii="Arial" w:eastAsia="Times New Roman" w:hAnsi="Arial" w:cs="Times New Roman"/>
      <w:b/>
      <w:bCs/>
      <w:sz w:val="20"/>
      <w:szCs w:val="20"/>
    </w:rPr>
  </w:style>
  <w:style w:type="numbering" w:customStyle="1" w:styleId="NoList2">
    <w:name w:val="No List2"/>
    <w:next w:val="NoList"/>
    <w:semiHidden/>
    <w:rsid w:val="008662D2"/>
  </w:style>
  <w:style w:type="paragraph" w:styleId="BodyText">
    <w:name w:val="Body Text"/>
    <w:basedOn w:val="Normal"/>
    <w:link w:val="BodyText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8662D2"/>
    <w:rPr>
      <w:rFonts w:ascii="Times New Roman" w:eastAsia="Times New Roman" w:hAnsi="Times New Roman" w:cs="Times New Roman"/>
      <w:sz w:val="20"/>
      <w:szCs w:val="20"/>
    </w:rPr>
  </w:style>
  <w:style w:type="paragraph" w:styleId="BodyText2">
    <w:name w:val="Body Text 2"/>
    <w:basedOn w:val="Normal"/>
    <w:link w:val="BodyText2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662D2"/>
    <w:rPr>
      <w:rFonts w:ascii="Times New Roman" w:eastAsia="Times New Roman" w:hAnsi="Times New Roman" w:cs="Times New Roman"/>
      <w:sz w:val="24"/>
      <w:szCs w:val="20"/>
    </w:rPr>
  </w:style>
  <w:style w:type="character" w:styleId="Emphasis">
    <w:name w:val="Emphasis"/>
    <w:qFormat/>
    <w:rsid w:val="008662D2"/>
    <w:rPr>
      <w:i/>
      <w:iCs/>
    </w:rPr>
  </w:style>
  <w:style w:type="paragraph" w:styleId="List">
    <w:name w:val="List"/>
    <w:basedOn w:val="Normal"/>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Salutation">
    <w:name w:val="Salutation"/>
    <w:basedOn w:val="Normal"/>
    <w:next w:val="Normal"/>
    <w:link w:val="SalutationChar"/>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SalutationChar">
    <w:name w:val="Salutation Char"/>
    <w:basedOn w:val="DefaultParagraphFont"/>
    <w:link w:val="Salutation"/>
    <w:rsid w:val="008662D2"/>
    <w:rPr>
      <w:rFonts w:ascii="Arial" w:eastAsia="Times New Roman" w:hAnsi="Arial" w:cs="Times New Roman"/>
      <w:sz w:val="20"/>
      <w:szCs w:val="20"/>
      <w:lang w:val="en-US"/>
    </w:rPr>
  </w:style>
  <w:style w:type="paragraph" w:styleId="Closing">
    <w:name w:val="Closing"/>
    <w:basedOn w:val="Normal"/>
    <w:link w:val="Closing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ClosingChar">
    <w:name w:val="Closing Char"/>
    <w:basedOn w:val="DefaultParagraphFont"/>
    <w:link w:val="Closing"/>
    <w:rsid w:val="008662D2"/>
    <w:rPr>
      <w:rFonts w:ascii="Arial" w:eastAsia="Times New Roman" w:hAnsi="Arial" w:cs="Times New Roman"/>
      <w:sz w:val="20"/>
      <w:szCs w:val="20"/>
      <w:lang w:val="en-US"/>
    </w:rPr>
  </w:style>
  <w:style w:type="paragraph" w:customStyle="1" w:styleId="InsideAddress">
    <w:name w:val="Inside Address"/>
    <w:basedOn w:val="Normal"/>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Signature">
    <w:name w:val="Signature"/>
    <w:basedOn w:val="Normal"/>
    <w:link w:val="Signature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SignatureChar">
    <w:name w:val="Signature Char"/>
    <w:basedOn w:val="DefaultParagraphFont"/>
    <w:link w:val="Signature"/>
    <w:rsid w:val="008662D2"/>
    <w:rPr>
      <w:rFonts w:ascii="Arial" w:eastAsia="Times New Roman" w:hAnsi="Arial" w:cs="Times New Roman"/>
      <w:sz w:val="20"/>
      <w:szCs w:val="20"/>
      <w:lang w:val="en-US"/>
    </w:rPr>
  </w:style>
  <w:style w:type="paragraph" w:customStyle="1" w:styleId="ReferenceLine">
    <w:name w:val="Reference Line"/>
    <w:basedOn w:val="BodyText"/>
    <w:rsid w:val="008662D2"/>
  </w:style>
  <w:style w:type="paragraph" w:styleId="BodyTextFirstIndent">
    <w:name w:val="Body Text First Indent"/>
    <w:basedOn w:val="BodyText"/>
    <w:link w:val="BodyTextFirstIndentChar"/>
    <w:rsid w:val="008662D2"/>
    <w:pPr>
      <w:spacing w:after="120"/>
      <w:ind w:firstLine="210"/>
      <w:jc w:val="left"/>
    </w:pPr>
    <w:rPr>
      <w:rFonts w:ascii="Arial" w:hAnsi="Arial"/>
      <w:lang w:val="en-US"/>
    </w:rPr>
  </w:style>
  <w:style w:type="character" w:customStyle="1" w:styleId="BodyTextFirstIndentChar">
    <w:name w:val="Body Text First Indent Char"/>
    <w:basedOn w:val="BodyTextChar"/>
    <w:link w:val="BodyTextFirstIndent"/>
    <w:rsid w:val="008662D2"/>
    <w:rPr>
      <w:rFonts w:ascii="Arial" w:eastAsia="Times New Roman" w:hAnsi="Arial" w:cs="Times New Roman"/>
      <w:sz w:val="20"/>
      <w:szCs w:val="20"/>
      <w:lang w:val="en-US"/>
    </w:rPr>
  </w:style>
  <w:style w:type="paragraph" w:styleId="NormalWeb">
    <w:name w:val="Normal (Web)"/>
    <w:basedOn w:val="Normal"/>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ListParagraphChar">
    <w:name w:val="List Paragraph Char"/>
    <w:aliases w:val="List Paragraph1 Char,List1 Char,Списък на абзаци Char,List Paragraph11 Char,List Paragraph111 Char,Colorful List - Accent 11 Char,List Paragraph1111 Char,List Paragraph compact Char,Normal bullet 2 Char,Paragraphe de liste 2 Char"/>
    <w:link w:val="ListParagraph"/>
    <w:uiPriority w:val="34"/>
    <w:qFormat/>
    <w:locked/>
    <w:rsid w:val="00A256D0"/>
  </w:style>
  <w:style w:type="table" w:customStyle="1" w:styleId="TableGrid2">
    <w:name w:val="Table Grid2"/>
    <w:basedOn w:val="TableNormal"/>
    <w:next w:val="TableGrid"/>
    <w:uiPriority w:val="39"/>
    <w:rsid w:val="00A34AF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EndnoteTextChar">
    <w:name w:val="Endnote Text Char"/>
    <w:basedOn w:val="DefaultParagraphFont"/>
    <w:link w:val="EndnoteText"/>
    <w:uiPriority w:val="99"/>
    <w:semiHidden/>
    <w:rsid w:val="00A34AFD"/>
    <w:rPr>
      <w:rFonts w:ascii="Times New Roman" w:eastAsia="Times New Roman" w:hAnsi="Times New Roman" w:cs="Times New Roman"/>
      <w:sz w:val="20"/>
      <w:szCs w:val="20"/>
      <w:lang w:val="en-GB" w:eastAsia="fr-FR"/>
    </w:rPr>
  </w:style>
  <w:style w:type="character" w:styleId="EndnoteReference">
    <w:name w:val="endnote reference"/>
    <w:basedOn w:val="DefaultParagraphFont"/>
    <w:uiPriority w:val="99"/>
    <w:semiHidden/>
    <w:unhideWhenUsed/>
    <w:rsid w:val="00A34AFD"/>
    <w:rPr>
      <w:vertAlign w:val="superscript"/>
    </w:rPr>
  </w:style>
  <w:style w:type="paragraph" w:styleId="NoSpacing">
    <w:name w:val="No Spacing"/>
    <w:link w:val="NoSpacingChar"/>
    <w:uiPriority w:val="1"/>
    <w:qFormat/>
    <w:rsid w:val="00A34A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34AFD"/>
    <w:rPr>
      <w:rFonts w:eastAsiaTheme="minorEastAsia"/>
      <w:lang w:val="en-US"/>
    </w:rPr>
  </w:style>
  <w:style w:type="character" w:customStyle="1" w:styleId="CommentSubjectChar1">
    <w:name w:val="Comment Subject Char1"/>
    <w:basedOn w:val="CommentTextChar"/>
    <w:uiPriority w:val="99"/>
    <w:semiHidden/>
    <w:rsid w:val="003935EC"/>
    <w:rPr>
      <w:rFonts w:ascii="Calibri" w:eastAsia="Times New Roman" w:hAnsi="Calibri" w:cs="Times New Roman"/>
      <w:b/>
      <w:bCs/>
      <w:sz w:val="20"/>
      <w:szCs w:val="20"/>
    </w:rPr>
  </w:style>
  <w:style w:type="paragraph" w:customStyle="1" w:styleId="10">
    <w:name w:val="Основен текст1"/>
    <w:basedOn w:val="Normal"/>
    <w:uiPriority w:val="99"/>
    <w:rsid w:val="003935EC"/>
    <w:pPr>
      <w:shd w:val="clear" w:color="auto" w:fill="FFFFFF"/>
      <w:spacing w:before="60" w:after="0" w:line="240" w:lineRule="atLeast"/>
      <w:ind w:hanging="720"/>
    </w:pPr>
    <w:rPr>
      <w:sz w:val="23"/>
      <w:shd w:val="clear" w:color="auto" w:fill="FFFFFF"/>
    </w:rPr>
  </w:style>
  <w:style w:type="paragraph" w:styleId="TOCHeading">
    <w:name w:val="TOC Heading"/>
    <w:basedOn w:val="Heading1"/>
    <w:next w:val="Normal"/>
    <w:uiPriority w:val="39"/>
    <w:semiHidden/>
    <w:unhideWhenUsed/>
    <w:qFormat/>
    <w:rsid w:val="003935EC"/>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TOC2">
    <w:name w:val="toc 2"/>
    <w:basedOn w:val="Normal"/>
    <w:next w:val="Normal"/>
    <w:autoRedefine/>
    <w:uiPriority w:val="39"/>
    <w:semiHidden/>
    <w:unhideWhenUsed/>
    <w:qFormat/>
    <w:rsid w:val="003935EC"/>
    <w:pPr>
      <w:spacing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3935EC"/>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3935EC"/>
    <w:pPr>
      <w:spacing w:after="100"/>
      <w:ind w:left="440"/>
    </w:pPr>
    <w:rPr>
      <w:rFonts w:eastAsiaTheme="minorEastAsia"/>
      <w:lang w:val="en-US" w:eastAsia="ja-JP"/>
    </w:rPr>
  </w:style>
  <w:style w:type="paragraph" w:customStyle="1" w:styleId="oj-normal">
    <w:name w:val="oj-normal"/>
    <w:basedOn w:val="Normal"/>
    <w:rsid w:val="00FB24D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FA002A"/>
    <w:pPr>
      <w:autoSpaceDE w:val="0"/>
      <w:autoSpaceDN w:val="0"/>
      <w:adjustRightInd w:val="0"/>
      <w:spacing w:after="0" w:line="240" w:lineRule="auto"/>
    </w:pPr>
    <w:rPr>
      <w:rFonts w:ascii="EUAlbertina" w:hAnsi="EUAlbertina" w:cs="EUAlbertina"/>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A83"/>
  </w:style>
  <w:style w:type="paragraph" w:styleId="Heading1">
    <w:name w:val="heading 1"/>
    <w:basedOn w:val="Normal"/>
    <w:next w:val="Normal"/>
    <w:link w:val="Heading1Char"/>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Heading2">
    <w:name w:val="heading 2"/>
    <w:basedOn w:val="Normal"/>
    <w:next w:val="Normal"/>
    <w:link w:val="Heading2Char"/>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Heading3">
    <w:name w:val="heading 3"/>
    <w:basedOn w:val="Normal"/>
    <w:next w:val="Normal"/>
    <w:link w:val="Heading3Char"/>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Heading4">
    <w:name w:val="heading 4"/>
    <w:basedOn w:val="Normal"/>
    <w:next w:val="Normal"/>
    <w:link w:val="Heading4Char"/>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unhideWhenUsed/>
    <w:rsid w:val="005C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4E0D"/>
    <w:rPr>
      <w:rFonts w:ascii="Tahoma" w:hAnsi="Tahoma" w:cs="Tahoma"/>
      <w:sz w:val="16"/>
      <w:szCs w:val="16"/>
    </w:rPr>
  </w:style>
  <w:style w:type="paragraph" w:styleId="ListParagraph">
    <w:name w:val="List Paragraph"/>
    <w:aliases w:val="List Paragraph1,List1,Списък на абзаци,List Paragraph11,List Paragraph111,Colorful List - Accent 11,List Paragraph1111,List Paragraph compact,Normal bullet 2,Paragraphe de liste 2,Reference list,Bullet list,Numbered List,Paragraph,Bullet "/>
    <w:basedOn w:val="Normal"/>
    <w:link w:val="ListParagraphChar"/>
    <w:uiPriority w:val="34"/>
    <w:qFormat/>
    <w:rsid w:val="005C4E0D"/>
    <w:pPr>
      <w:ind w:left="720"/>
      <w:contextualSpacing/>
    </w:pPr>
  </w:style>
  <w:style w:type="table" w:styleId="TableGrid">
    <w:name w:val="Table Grid"/>
    <w:basedOn w:val="TableNormal"/>
    <w:uiPriority w:val="59"/>
    <w:rsid w:val="00890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A84523"/>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A84523"/>
    <w:rPr>
      <w:rFonts w:ascii="Calibri" w:eastAsia="Times New Roman" w:hAnsi="Calibri" w:cs="Times New Roman"/>
      <w:sz w:val="20"/>
      <w:szCs w:val="20"/>
    </w:rPr>
  </w:style>
  <w:style w:type="paragraph" w:customStyle="1" w:styleId="title1">
    <w:name w:val="title1"/>
    <w:basedOn w:val="Normal"/>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Normal"/>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DefaultParagraphFont"/>
    <w:uiPriority w:val="99"/>
    <w:rsid w:val="00781848"/>
    <w:rPr>
      <w:rFonts w:cs="Times New Roman"/>
      <w:shd w:val="clear" w:color="auto" w:fill="FFFF66"/>
    </w:rPr>
  </w:style>
  <w:style w:type="character" w:customStyle="1" w:styleId="search22">
    <w:name w:val="search22"/>
    <w:basedOn w:val="DefaultParagraphFont"/>
    <w:uiPriority w:val="99"/>
    <w:rsid w:val="00781848"/>
    <w:rPr>
      <w:rFonts w:cs="Times New Roman"/>
      <w:shd w:val="clear" w:color="auto" w:fill="FF9999"/>
    </w:rPr>
  </w:style>
  <w:style w:type="character" w:customStyle="1" w:styleId="historyitemselected1">
    <w:name w:val="historyitemselected1"/>
    <w:basedOn w:val="DefaultParagraphFont"/>
    <w:uiPriority w:val="99"/>
    <w:rsid w:val="00781848"/>
    <w:rPr>
      <w:rFonts w:cs="Times New Roman"/>
      <w:b/>
      <w:bCs/>
      <w:color w:val="0086C6"/>
    </w:rPr>
  </w:style>
  <w:style w:type="character" w:customStyle="1" w:styleId="CommentSubjectChar">
    <w:name w:val="Comment Subject Char"/>
    <w:basedOn w:val="CommentTextChar"/>
    <w:link w:val="CommentSubject"/>
    <w:uiPriority w:val="99"/>
    <w:rsid w:val="00781848"/>
    <w:rPr>
      <w:rFonts w:ascii="Times New Roman" w:eastAsia="Times New Roman" w:hAnsi="Times New Roman" w:cs="Times New Roman"/>
      <w:b/>
      <w:bCs/>
      <w:sz w:val="20"/>
      <w:szCs w:val="20"/>
      <w:lang w:eastAsia="bg-BG"/>
    </w:rPr>
  </w:style>
  <w:style w:type="paragraph" w:styleId="CommentSubject">
    <w:name w:val="annotation subject"/>
    <w:basedOn w:val="CommentText"/>
    <w:next w:val="CommentText"/>
    <w:link w:val="CommentSubjectChar"/>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
    <w:name w:val="Основен текст_"/>
    <w:link w:val="a0"/>
    <w:uiPriority w:val="99"/>
    <w:locked/>
    <w:rsid w:val="00781848"/>
    <w:rPr>
      <w:sz w:val="23"/>
      <w:shd w:val="clear" w:color="auto" w:fill="FFFFFF"/>
    </w:rPr>
  </w:style>
  <w:style w:type="paragraph" w:customStyle="1" w:styleId="a0">
    <w:name w:val="Основен текст"/>
    <w:basedOn w:val="Normal"/>
    <w:link w:val="a"/>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DefaultParagraphFont"/>
    <w:uiPriority w:val="99"/>
    <w:rsid w:val="00781848"/>
    <w:rPr>
      <w:rFonts w:cs="Times New Roman"/>
      <w:shd w:val="clear" w:color="auto" w:fill="CCFF99"/>
    </w:rPr>
  </w:style>
  <w:style w:type="character" w:styleId="Hyperlink">
    <w:name w:val="Hyperlink"/>
    <w:basedOn w:val="DefaultParagraphFont"/>
    <w:unhideWhenUsed/>
    <w:rsid w:val="00781848"/>
    <w:rPr>
      <w:rFonts w:cs="Times New Roman"/>
      <w:color w:val="000000"/>
      <w:u w:val="none"/>
      <w:effect w:val="none"/>
    </w:rPr>
  </w:style>
  <w:style w:type="character" w:customStyle="1" w:styleId="spelle">
    <w:name w:val="spelle"/>
    <w:rsid w:val="00781848"/>
  </w:style>
  <w:style w:type="character" w:styleId="CommentReference">
    <w:name w:val="annotation reference"/>
    <w:basedOn w:val="DefaultParagraphFont"/>
    <w:uiPriority w:val="99"/>
    <w:unhideWhenUsed/>
    <w:rsid w:val="007E7C5A"/>
    <w:rPr>
      <w:sz w:val="16"/>
      <w:szCs w:val="16"/>
    </w:rPr>
  </w:style>
  <w:style w:type="paragraph" w:styleId="Revision">
    <w:name w:val="Revision"/>
    <w:hidden/>
    <w:uiPriority w:val="99"/>
    <w:semiHidden/>
    <w:rsid w:val="00233C85"/>
    <w:pPr>
      <w:spacing w:after="0" w:line="240" w:lineRule="auto"/>
    </w:pPr>
  </w:style>
  <w:style w:type="character" w:customStyle="1" w:styleId="Heading1Char">
    <w:name w:val="Heading 1 Char"/>
    <w:basedOn w:val="DefaultParagraphFont"/>
    <w:link w:val="Heading1"/>
    <w:rsid w:val="0075789F"/>
    <w:rPr>
      <w:rFonts w:ascii="Cambria" w:eastAsia="Times New Roman" w:hAnsi="Cambria" w:cs="Times New Roman"/>
      <w:b/>
      <w:kern w:val="32"/>
      <w:sz w:val="32"/>
      <w:szCs w:val="20"/>
      <w:lang w:eastAsia="bg-BG"/>
    </w:rPr>
  </w:style>
  <w:style w:type="character" w:customStyle="1" w:styleId="Heading3Char">
    <w:name w:val="Heading 3 Char"/>
    <w:basedOn w:val="DefaultParagraphFont"/>
    <w:link w:val="Heading3"/>
    <w:rsid w:val="0075789F"/>
    <w:rPr>
      <w:rFonts w:ascii="Cambria" w:eastAsia="Times New Roman" w:hAnsi="Cambria" w:cs="Times New Roman"/>
      <w:b/>
      <w:bCs/>
      <w:sz w:val="26"/>
      <w:szCs w:val="26"/>
      <w:lang w:val="en-GB" w:eastAsia="fr-FR"/>
    </w:rPr>
  </w:style>
  <w:style w:type="numbering" w:customStyle="1" w:styleId="NoList1">
    <w:name w:val="No List1"/>
    <w:next w:val="NoList"/>
    <w:semiHidden/>
    <w:unhideWhenUsed/>
    <w:rsid w:val="0075789F"/>
  </w:style>
  <w:style w:type="paragraph" w:styleId="Header">
    <w:name w:val="header"/>
    <w:basedOn w:val="Normal"/>
    <w:link w:val="Head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TableNormal"/>
    <w:next w:val="TableGrid"/>
    <w:uiPriority w:val="39"/>
    <w:rsid w:val="0075789F"/>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FooterChar">
    <w:name w:val="Footer Char"/>
    <w:basedOn w:val="DefaultParagraphFont"/>
    <w:link w:val="Footer"/>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
    <w:name w:val="1"/>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Car Car"/>
    <w:basedOn w:val="Normal"/>
    <w:link w:val="FootnoteTextChar"/>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75789F"/>
    <w:rPr>
      <w:rFonts w:ascii="Times New Roman" w:eastAsia="Times New Roman" w:hAnsi="Times New Roman" w:cs="Times New Roman"/>
      <w:sz w:val="20"/>
      <w:szCs w:val="20"/>
      <w:lang w:val="en-GB" w:eastAsia="fr-FR"/>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75789F"/>
    <w:rPr>
      <w:vertAlign w:val="superscript"/>
    </w:rPr>
  </w:style>
  <w:style w:type="character" w:styleId="PageNumber">
    <w:name w:val="page number"/>
    <w:rsid w:val="0075789F"/>
  </w:style>
  <w:style w:type="paragraph" w:customStyle="1" w:styleId="CharCharCharCharCharCharCharCharCharCharCharCharChar">
    <w:name w:val="Char Char Char Char Char Char Char Char Char Char Char Char Char"/>
    <w:basedOn w:val="Normal"/>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8662D2"/>
    <w:rPr>
      <w:rFonts w:ascii="Times New Roman" w:eastAsia="Times New Roman" w:hAnsi="Times New Roman" w:cs="Times New Roman"/>
      <w:sz w:val="20"/>
      <w:szCs w:val="20"/>
      <w:u w:val="single"/>
    </w:rPr>
  </w:style>
  <w:style w:type="character" w:customStyle="1" w:styleId="Heading4Char">
    <w:name w:val="Heading 4 Char"/>
    <w:basedOn w:val="DefaultParagraphFont"/>
    <w:link w:val="Heading4"/>
    <w:rsid w:val="008662D2"/>
    <w:rPr>
      <w:rFonts w:ascii="Arial" w:eastAsia="Times New Roman" w:hAnsi="Arial" w:cs="Times New Roman"/>
      <w:b/>
      <w:bCs/>
      <w:sz w:val="20"/>
      <w:szCs w:val="20"/>
    </w:rPr>
  </w:style>
  <w:style w:type="numbering" w:customStyle="1" w:styleId="NoList2">
    <w:name w:val="No List2"/>
    <w:next w:val="NoList"/>
    <w:semiHidden/>
    <w:rsid w:val="008662D2"/>
  </w:style>
  <w:style w:type="paragraph" w:styleId="BodyText">
    <w:name w:val="Body Text"/>
    <w:basedOn w:val="Normal"/>
    <w:link w:val="BodyText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8662D2"/>
    <w:rPr>
      <w:rFonts w:ascii="Times New Roman" w:eastAsia="Times New Roman" w:hAnsi="Times New Roman" w:cs="Times New Roman"/>
      <w:sz w:val="20"/>
      <w:szCs w:val="20"/>
    </w:rPr>
  </w:style>
  <w:style w:type="paragraph" w:styleId="BodyText2">
    <w:name w:val="Body Text 2"/>
    <w:basedOn w:val="Normal"/>
    <w:link w:val="BodyText2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662D2"/>
    <w:rPr>
      <w:rFonts w:ascii="Times New Roman" w:eastAsia="Times New Roman" w:hAnsi="Times New Roman" w:cs="Times New Roman"/>
      <w:sz w:val="24"/>
      <w:szCs w:val="20"/>
    </w:rPr>
  </w:style>
  <w:style w:type="character" w:styleId="Emphasis">
    <w:name w:val="Emphasis"/>
    <w:qFormat/>
    <w:rsid w:val="008662D2"/>
    <w:rPr>
      <w:i/>
      <w:iCs/>
    </w:rPr>
  </w:style>
  <w:style w:type="paragraph" w:styleId="List">
    <w:name w:val="List"/>
    <w:basedOn w:val="Normal"/>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Salutation">
    <w:name w:val="Salutation"/>
    <w:basedOn w:val="Normal"/>
    <w:next w:val="Normal"/>
    <w:link w:val="SalutationChar"/>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SalutationChar">
    <w:name w:val="Salutation Char"/>
    <w:basedOn w:val="DefaultParagraphFont"/>
    <w:link w:val="Salutation"/>
    <w:rsid w:val="008662D2"/>
    <w:rPr>
      <w:rFonts w:ascii="Arial" w:eastAsia="Times New Roman" w:hAnsi="Arial" w:cs="Times New Roman"/>
      <w:sz w:val="20"/>
      <w:szCs w:val="20"/>
      <w:lang w:val="en-US"/>
    </w:rPr>
  </w:style>
  <w:style w:type="paragraph" w:styleId="Closing">
    <w:name w:val="Closing"/>
    <w:basedOn w:val="Normal"/>
    <w:link w:val="Closing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ClosingChar">
    <w:name w:val="Closing Char"/>
    <w:basedOn w:val="DefaultParagraphFont"/>
    <w:link w:val="Closing"/>
    <w:rsid w:val="008662D2"/>
    <w:rPr>
      <w:rFonts w:ascii="Arial" w:eastAsia="Times New Roman" w:hAnsi="Arial" w:cs="Times New Roman"/>
      <w:sz w:val="20"/>
      <w:szCs w:val="20"/>
      <w:lang w:val="en-US"/>
    </w:rPr>
  </w:style>
  <w:style w:type="paragraph" w:customStyle="1" w:styleId="InsideAddress">
    <w:name w:val="Inside Address"/>
    <w:basedOn w:val="Normal"/>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Signature">
    <w:name w:val="Signature"/>
    <w:basedOn w:val="Normal"/>
    <w:link w:val="Signature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SignatureChar">
    <w:name w:val="Signature Char"/>
    <w:basedOn w:val="DefaultParagraphFont"/>
    <w:link w:val="Signature"/>
    <w:rsid w:val="008662D2"/>
    <w:rPr>
      <w:rFonts w:ascii="Arial" w:eastAsia="Times New Roman" w:hAnsi="Arial" w:cs="Times New Roman"/>
      <w:sz w:val="20"/>
      <w:szCs w:val="20"/>
      <w:lang w:val="en-US"/>
    </w:rPr>
  </w:style>
  <w:style w:type="paragraph" w:customStyle="1" w:styleId="ReferenceLine">
    <w:name w:val="Reference Line"/>
    <w:basedOn w:val="BodyText"/>
    <w:rsid w:val="008662D2"/>
  </w:style>
  <w:style w:type="paragraph" w:styleId="BodyTextFirstIndent">
    <w:name w:val="Body Text First Indent"/>
    <w:basedOn w:val="BodyText"/>
    <w:link w:val="BodyTextFirstIndentChar"/>
    <w:rsid w:val="008662D2"/>
    <w:pPr>
      <w:spacing w:after="120"/>
      <w:ind w:firstLine="210"/>
      <w:jc w:val="left"/>
    </w:pPr>
    <w:rPr>
      <w:rFonts w:ascii="Arial" w:hAnsi="Arial"/>
      <w:lang w:val="en-US"/>
    </w:rPr>
  </w:style>
  <w:style w:type="character" w:customStyle="1" w:styleId="BodyTextFirstIndentChar">
    <w:name w:val="Body Text First Indent Char"/>
    <w:basedOn w:val="BodyTextChar"/>
    <w:link w:val="BodyTextFirstIndent"/>
    <w:rsid w:val="008662D2"/>
    <w:rPr>
      <w:rFonts w:ascii="Arial" w:eastAsia="Times New Roman" w:hAnsi="Arial" w:cs="Times New Roman"/>
      <w:sz w:val="20"/>
      <w:szCs w:val="20"/>
      <w:lang w:val="en-US"/>
    </w:rPr>
  </w:style>
  <w:style w:type="paragraph" w:styleId="NormalWeb">
    <w:name w:val="Normal (Web)"/>
    <w:basedOn w:val="Normal"/>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ListParagraphChar">
    <w:name w:val="List Paragraph Char"/>
    <w:aliases w:val="List Paragraph1 Char,List1 Char,Списък на абзаци Char,List Paragraph11 Char,List Paragraph111 Char,Colorful List - Accent 11 Char,List Paragraph1111 Char,List Paragraph compact Char,Normal bullet 2 Char,Paragraphe de liste 2 Char"/>
    <w:link w:val="ListParagraph"/>
    <w:uiPriority w:val="34"/>
    <w:qFormat/>
    <w:locked/>
    <w:rsid w:val="00A256D0"/>
  </w:style>
  <w:style w:type="table" w:customStyle="1" w:styleId="TableGrid2">
    <w:name w:val="Table Grid2"/>
    <w:basedOn w:val="TableNormal"/>
    <w:next w:val="TableGrid"/>
    <w:uiPriority w:val="39"/>
    <w:rsid w:val="00A34AF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EndnoteTextChar">
    <w:name w:val="Endnote Text Char"/>
    <w:basedOn w:val="DefaultParagraphFont"/>
    <w:link w:val="EndnoteText"/>
    <w:uiPriority w:val="99"/>
    <w:semiHidden/>
    <w:rsid w:val="00A34AFD"/>
    <w:rPr>
      <w:rFonts w:ascii="Times New Roman" w:eastAsia="Times New Roman" w:hAnsi="Times New Roman" w:cs="Times New Roman"/>
      <w:sz w:val="20"/>
      <w:szCs w:val="20"/>
      <w:lang w:val="en-GB" w:eastAsia="fr-FR"/>
    </w:rPr>
  </w:style>
  <w:style w:type="character" w:styleId="EndnoteReference">
    <w:name w:val="endnote reference"/>
    <w:basedOn w:val="DefaultParagraphFont"/>
    <w:uiPriority w:val="99"/>
    <w:semiHidden/>
    <w:unhideWhenUsed/>
    <w:rsid w:val="00A34AFD"/>
    <w:rPr>
      <w:vertAlign w:val="superscript"/>
    </w:rPr>
  </w:style>
  <w:style w:type="paragraph" w:styleId="NoSpacing">
    <w:name w:val="No Spacing"/>
    <w:link w:val="NoSpacingChar"/>
    <w:uiPriority w:val="1"/>
    <w:qFormat/>
    <w:rsid w:val="00A34A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34AFD"/>
    <w:rPr>
      <w:rFonts w:eastAsiaTheme="minorEastAsia"/>
      <w:lang w:val="en-US"/>
    </w:rPr>
  </w:style>
  <w:style w:type="character" w:customStyle="1" w:styleId="CommentSubjectChar1">
    <w:name w:val="Comment Subject Char1"/>
    <w:basedOn w:val="CommentTextChar"/>
    <w:uiPriority w:val="99"/>
    <w:semiHidden/>
    <w:rsid w:val="003935EC"/>
    <w:rPr>
      <w:rFonts w:ascii="Calibri" w:eastAsia="Times New Roman" w:hAnsi="Calibri" w:cs="Times New Roman"/>
      <w:b/>
      <w:bCs/>
      <w:sz w:val="20"/>
      <w:szCs w:val="20"/>
    </w:rPr>
  </w:style>
  <w:style w:type="paragraph" w:customStyle="1" w:styleId="10">
    <w:name w:val="Основен текст1"/>
    <w:basedOn w:val="Normal"/>
    <w:uiPriority w:val="99"/>
    <w:rsid w:val="003935EC"/>
    <w:pPr>
      <w:shd w:val="clear" w:color="auto" w:fill="FFFFFF"/>
      <w:spacing w:before="60" w:after="0" w:line="240" w:lineRule="atLeast"/>
      <w:ind w:hanging="720"/>
    </w:pPr>
    <w:rPr>
      <w:sz w:val="23"/>
      <w:shd w:val="clear" w:color="auto" w:fill="FFFFFF"/>
    </w:rPr>
  </w:style>
  <w:style w:type="paragraph" w:styleId="TOCHeading">
    <w:name w:val="TOC Heading"/>
    <w:basedOn w:val="Heading1"/>
    <w:next w:val="Normal"/>
    <w:uiPriority w:val="39"/>
    <w:semiHidden/>
    <w:unhideWhenUsed/>
    <w:qFormat/>
    <w:rsid w:val="003935EC"/>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TOC2">
    <w:name w:val="toc 2"/>
    <w:basedOn w:val="Normal"/>
    <w:next w:val="Normal"/>
    <w:autoRedefine/>
    <w:uiPriority w:val="39"/>
    <w:semiHidden/>
    <w:unhideWhenUsed/>
    <w:qFormat/>
    <w:rsid w:val="003935EC"/>
    <w:pPr>
      <w:spacing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3935EC"/>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3935EC"/>
    <w:pPr>
      <w:spacing w:after="100"/>
      <w:ind w:left="440"/>
    </w:pPr>
    <w:rPr>
      <w:rFonts w:eastAsiaTheme="minorEastAsia"/>
      <w:lang w:val="en-US" w:eastAsia="ja-JP"/>
    </w:rPr>
  </w:style>
  <w:style w:type="paragraph" w:customStyle="1" w:styleId="oj-normal">
    <w:name w:val="oj-normal"/>
    <w:basedOn w:val="Normal"/>
    <w:rsid w:val="00FB24D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FA002A"/>
    <w:pPr>
      <w:autoSpaceDE w:val="0"/>
      <w:autoSpaceDN w:val="0"/>
      <w:adjustRightInd w:val="0"/>
      <w:spacing w:after="0" w:line="240" w:lineRule="auto"/>
    </w:pPr>
    <w:rPr>
      <w:rFonts w:ascii="EUAlbertina" w:hAnsi="EUAlbertina" w:cs="EUAlberti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85080">
      <w:bodyDiv w:val="1"/>
      <w:marLeft w:val="0"/>
      <w:marRight w:val="0"/>
      <w:marTop w:val="0"/>
      <w:marBottom w:val="0"/>
      <w:divBdr>
        <w:top w:val="none" w:sz="0" w:space="0" w:color="auto"/>
        <w:left w:val="none" w:sz="0" w:space="0" w:color="auto"/>
        <w:bottom w:val="none" w:sz="0" w:space="0" w:color="auto"/>
        <w:right w:val="none" w:sz="0" w:space="0" w:color="auto"/>
      </w:divBdr>
    </w:div>
    <w:div w:id="651443142">
      <w:bodyDiv w:val="1"/>
      <w:marLeft w:val="0"/>
      <w:marRight w:val="0"/>
      <w:marTop w:val="0"/>
      <w:marBottom w:val="0"/>
      <w:divBdr>
        <w:top w:val="none" w:sz="0" w:space="0" w:color="auto"/>
        <w:left w:val="none" w:sz="0" w:space="0" w:color="auto"/>
        <w:bottom w:val="none" w:sz="0" w:space="0" w:color="auto"/>
        <w:right w:val="none" w:sz="0" w:space="0" w:color="auto"/>
      </w:divBdr>
    </w:div>
    <w:div w:id="859126862">
      <w:bodyDiv w:val="1"/>
      <w:marLeft w:val="0"/>
      <w:marRight w:val="0"/>
      <w:marTop w:val="0"/>
      <w:marBottom w:val="0"/>
      <w:divBdr>
        <w:top w:val="none" w:sz="0" w:space="0" w:color="auto"/>
        <w:left w:val="none" w:sz="0" w:space="0" w:color="auto"/>
        <w:bottom w:val="none" w:sz="0" w:space="0" w:color="auto"/>
        <w:right w:val="none" w:sz="0" w:space="0" w:color="auto"/>
      </w:divBdr>
    </w:div>
    <w:div w:id="957368835">
      <w:bodyDiv w:val="1"/>
      <w:marLeft w:val="0"/>
      <w:marRight w:val="0"/>
      <w:marTop w:val="0"/>
      <w:marBottom w:val="0"/>
      <w:divBdr>
        <w:top w:val="none" w:sz="0" w:space="0" w:color="auto"/>
        <w:left w:val="none" w:sz="0" w:space="0" w:color="auto"/>
        <w:bottom w:val="none" w:sz="0" w:space="0" w:color="auto"/>
        <w:right w:val="none" w:sz="0" w:space="0" w:color="auto"/>
      </w:divBdr>
      <w:divsChild>
        <w:div w:id="1669556973">
          <w:marLeft w:val="0"/>
          <w:marRight w:val="0"/>
          <w:marTop w:val="0"/>
          <w:marBottom w:val="0"/>
          <w:divBdr>
            <w:top w:val="none" w:sz="0" w:space="0" w:color="auto"/>
            <w:left w:val="none" w:sz="0" w:space="0" w:color="auto"/>
            <w:bottom w:val="none" w:sz="0" w:space="0" w:color="auto"/>
            <w:right w:val="none" w:sz="0" w:space="0" w:color="auto"/>
          </w:divBdr>
          <w:divsChild>
            <w:div w:id="152567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179592">
      <w:bodyDiv w:val="1"/>
      <w:marLeft w:val="0"/>
      <w:marRight w:val="0"/>
      <w:marTop w:val="0"/>
      <w:marBottom w:val="0"/>
      <w:divBdr>
        <w:top w:val="none" w:sz="0" w:space="0" w:color="auto"/>
        <w:left w:val="none" w:sz="0" w:space="0" w:color="auto"/>
        <w:bottom w:val="none" w:sz="0" w:space="0" w:color="auto"/>
        <w:right w:val="none" w:sz="0" w:space="0" w:color="auto"/>
      </w:divBdr>
    </w:div>
    <w:div w:id="168089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NARH&amp;DocCode=5860223063&amp;Type=2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F44AD-A6B8-485C-80AF-DA0BF7A0F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39</Pages>
  <Words>16059</Words>
  <Characters>91542</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Dimitrina Pavlova</dc:creator>
  <cp:lastModifiedBy>Stefan Spasov</cp:lastModifiedBy>
  <cp:revision>30</cp:revision>
  <cp:lastPrinted>2017-06-19T13:20:00Z</cp:lastPrinted>
  <dcterms:created xsi:type="dcterms:W3CDTF">2025-02-03T13:52:00Z</dcterms:created>
  <dcterms:modified xsi:type="dcterms:W3CDTF">2025-02-11T14:16:00Z</dcterms:modified>
</cp:coreProperties>
</file>