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50" w:rsidRPr="00420FD4" w:rsidRDefault="00472050" w:rsidP="00FE0C21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eastAsia="bg-BG"/>
        </w:rPr>
      </w:pPr>
    </w:p>
    <w:p w:rsidR="00F8370D" w:rsidRDefault="00F8370D" w:rsidP="00C67649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256108" w:rsidRDefault="00256108" w:rsidP="00C67649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7A68BD" w:rsidRDefault="007A68BD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Default="00BF5DFF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>УТВЪРЖДАВАМ:</w:t>
      </w:r>
      <w:r w:rsidRPr="00872B31">
        <w:rPr>
          <w:rFonts w:ascii="Times New Roman" w:hAnsi="Times New Roman"/>
          <w:b/>
          <w:kern w:val="32"/>
          <w:sz w:val="24"/>
          <w:szCs w:val="24"/>
          <w:lang w:val="ru-RU" w:eastAsia="bg-BG"/>
        </w:rPr>
        <w:t xml:space="preserve"> </w:t>
      </w:r>
      <w:r w:rsidRPr="00872B31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 xml:space="preserve"> </w:t>
      </w:r>
    </w:p>
    <w:p w:rsidR="007A68BD" w:rsidRPr="00872B31" w:rsidRDefault="007A68BD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Pr="00872B31" w:rsidRDefault="00005F84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D41BFA2E-679A-4F5B-9098-25065F5053A1}" provid="{00000000-0000-0000-0000-000000000000}" issignatureline="t"/>
          </v:shape>
        </w:pict>
      </w:r>
    </w:p>
    <w:p w:rsidR="007A68BD" w:rsidRDefault="007A68BD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Pr="00872B31" w:rsidRDefault="003467BE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>ИЛИЯНА ИЛИЕВА</w:t>
      </w:r>
    </w:p>
    <w:p w:rsidR="00BF5DFF" w:rsidRPr="00872B31" w:rsidRDefault="00BF5DFF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 xml:space="preserve">Ръководител на Управляващия орган на </w:t>
      </w:r>
    </w:p>
    <w:p w:rsidR="00C67649" w:rsidRPr="00872B31" w:rsidRDefault="000A3D9A" w:rsidP="00BA69CA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>п</w:t>
      </w:r>
      <w:r w:rsidR="00BF5DFF" w:rsidRPr="00872B31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>рограма „Конкурентоспособност и иновации в предприятията“ 2021-2027 г.</w:t>
      </w:r>
    </w:p>
    <w:p w:rsidR="00C67649" w:rsidRPr="00872B31" w:rsidRDefault="00C67649" w:rsidP="004D7556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FE1D7D" w:rsidRPr="00872B31" w:rsidRDefault="00FE1D7D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E67A23" w:rsidRPr="00872B31" w:rsidRDefault="00E67A23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C27550" w:rsidRPr="00872B31" w:rsidRDefault="00845F88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  <w:t xml:space="preserve">УКАЗАНИЯ С ИЗИСКВАНИЯ ОТНОСНО ОСИГУРЯВАНЕТО НА ДОПЪЛВАЩО ФИНАНСИРАНЕ ПОД ФОРМАТА НА БЕЗВЪЗМЕЗДНА ФИНАНСОВА ПОМОЩ ЗА ИЗПЪЛНЕНИЕ НА ПОДХОДА ВОДЕНО ОТ ОБЩНОСТИТЕ МЕСТНО РАЗВИТИЕ ПО ПРОГРАМА „КОНКУРЕНТОСПОСОБНОСТ И ИНОВАЦИИ В ПРЕДПРИЯТИЯТА“ 2021-2027 </w:t>
      </w:r>
    </w:p>
    <w:p w:rsidR="00C67649" w:rsidRPr="00872B31" w:rsidRDefault="00C67649" w:rsidP="004D7556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BA69CA" w:rsidRPr="00872B31" w:rsidRDefault="00BA69CA" w:rsidP="004D7556">
      <w:pPr>
        <w:keepNext/>
        <w:widowControl w:val="0"/>
        <w:tabs>
          <w:tab w:val="left" w:pos="3894"/>
        </w:tabs>
        <w:overflowPunct/>
        <w:spacing w:line="276" w:lineRule="auto"/>
        <w:ind w:firstLine="709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134A18" w:rsidRPr="00872B31" w:rsidRDefault="00DF015B" w:rsidP="007304B2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Указания</w:t>
      </w:r>
      <w:r w:rsidR="004375F4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та</w:t>
      </w:r>
      <w:r w:rsidR="00862F7F">
        <w:rPr>
          <w:rStyle w:val="FootnoteReference"/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footnoteReference w:id="1"/>
      </w:r>
      <w:r w:rsidR="00975A49"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са изготвени на основа на разпоредбите на </w:t>
      </w:r>
      <w:r w:rsidR="00975A49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чл. 10</w:t>
      </w:r>
      <w:r w:rsidR="00581D88" w:rsidRPr="001D129C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581D88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на</w:t>
      </w:r>
      <w:r w:rsidR="00975A49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581D88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Постановление </w:t>
      </w:r>
      <w:r w:rsidR="007314C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на Министерския съвет</w:t>
      </w:r>
      <w:r w:rsidR="009A1F13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№ 494 </w:t>
      </w:r>
      <w:r w:rsidR="007314C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581D88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от 30 декември 2024 г. за определяне на правила за прилагане на подхода „Водено от общностите местно развитие“ за периода 2021 – 2027 г. </w:t>
      </w:r>
      <w:r w:rsidR="00975A49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(ПМС №</w:t>
      </w:r>
      <w:r w:rsidR="00581D88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494/2024</w:t>
      </w:r>
      <w:r w:rsidR="00975A49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) и</w:t>
      </w:r>
      <w:r w:rsidR="004375F4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9D3B43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включват </w:t>
      </w:r>
      <w:r w:rsidR="00FD6847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необходимата </w:t>
      </w:r>
      <w:r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информация</w:t>
      </w:r>
      <w:r w:rsidR="00847A7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, която местните инициативни групи (МИГ) 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следва</w:t>
      </w:r>
      <w:r w:rsidR="00847A7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да </w:t>
      </w:r>
      <w:r w:rsidR="004F7E51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представят</w:t>
      </w:r>
      <w:r w:rsidR="00847A7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в Приложение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то по чл. 17, ал. 2 на </w:t>
      </w:r>
      <w:r w:rsidR="00581D88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ПМС № 494/2024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в случай на</w:t>
      </w:r>
      <w:r w:rsidR="00DE3C0C" w:rsidRPr="001D129C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идентифициране/избор</w:t>
      </w:r>
      <w:r w:rsidR="007304B2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/структуриране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на мярк</w:t>
      </w:r>
      <w:r w:rsidR="0075200D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а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с допълващо финансиране по</w:t>
      </w:r>
      <w:r w:rsidR="004F7E51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DE3C0C" w:rsidRPr="00872B31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Програма „Конкурентоспособност и иновации в предприятията“ 2021-2027 г. (ПКИП). Приложението е част от настоящите Указания.</w:t>
      </w:r>
    </w:p>
    <w:p w:rsidR="00845F88" w:rsidRPr="00872B31" w:rsidRDefault="00BA50A1" w:rsidP="00845F8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През програмен период 2021-2027 подходът Водено от общностите местно развитие (ВОМР) се прилага еднофондово, с финансиране от Европейския земеделски фонд за развитие на селските райони (EЗФРСР). Програма „Околна среда” (ПОС), програма „Развитие на човешките ресурси” (ПРЧР), програма „Конкурентоспособност и иновации в предприятията“ (ПКИП) и програма „Образование“ (ПО) ще 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предоставят 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допълващо финансиране под формата на безвъзмездна финансова помощ.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Безвъзмездната фи</w:t>
      </w:r>
      <w:r w:rsidR="00161375" w:rsidRPr="00872B31">
        <w:rPr>
          <w:rFonts w:ascii="Times New Roman" w:eastAsia="Calibri" w:hAnsi="Times New Roman"/>
          <w:sz w:val="24"/>
          <w:szCs w:val="24"/>
          <w:lang w:val="bg-BG" w:eastAsia="bg-BG"/>
        </w:rPr>
        <w:t>нансова помощ се предоставя от Ръководителя на У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правляващия орган на програма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>та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допустими бенефициенти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в рамките на бюджета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съгласно </w:t>
      </w:r>
      <w:r w:rsidR="00845BF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информацията, включена от МИГ в 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риложението по чл. 17, ал. 2 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на </w:t>
      </w:r>
      <w:r w:rsidR="00581D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ПМС № 494/2024 </w:t>
      </w:r>
      <w:r w:rsidR="00845BF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(Приложение № 1 към настоящите Указания) </w:t>
      </w:r>
      <w:r w:rsidR="00845F8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към одобрените стратегии за ВОМР.</w:t>
      </w:r>
    </w:p>
    <w:p w:rsidR="00845F88" w:rsidRPr="00872B31" w:rsidRDefault="00845F88" w:rsidP="00845F8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Предоставянето на безвъзмездната финансова помощ се извършва чрез процедури за подбор на проектни предложения при условията и по реда на Закона за управление на средствата от Европейските фондове при споделено управление (ЗУСЕФСУ) и на Постановление на Министерския съвет </w:t>
      </w:r>
      <w:r w:rsidR="009A1F1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№ 23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от 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2027 г.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(ПМС № 23</w:t>
      </w:r>
      <w:r w:rsidR="00581D88" w:rsidRPr="00872B31">
        <w:rPr>
          <w:rFonts w:ascii="Times New Roman" w:eastAsia="Calibri" w:hAnsi="Times New Roman"/>
          <w:sz w:val="24"/>
          <w:szCs w:val="24"/>
          <w:lang w:val="bg-BG" w:eastAsia="bg-BG"/>
        </w:rPr>
        <w:t>/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2023).</w:t>
      </w:r>
    </w:p>
    <w:p w:rsidR="00665862" w:rsidRPr="00872B31" w:rsidRDefault="008D6B30" w:rsidP="00623BC7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ab/>
      </w:r>
    </w:p>
    <w:p w:rsidR="00A95E64" w:rsidRPr="00872B31" w:rsidRDefault="00826C50" w:rsidP="001A5F7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kern w:val="32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В изпълнение на разпоредбите на чл. 9, ал. 3-4 на ПМС № 494/2024 </w:t>
      </w:r>
      <w:r w:rsidR="001A5F78"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УО на ПКИП ще подготви Насоките за кандидатстване и ще обяви процедура на национално ниво за целеви приеми на проектни предложения от </w:t>
      </w:r>
      <w:r w:rsidR="00A95E64"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МСП от </w:t>
      </w:r>
      <w:r w:rsidR="001A5F78"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>съответните територии на МИГ в рамките на одобреното им приложение към стратегията за местно развитие и посочения бюджет. Процедурата ще бъде обявена с повече от един краен срок за подаване на проектни предложения.</w:t>
      </w:r>
      <w:r w:rsidR="00A95E64" w:rsidRPr="001D129C">
        <w:rPr>
          <w:rFonts w:ascii="Times New Roman" w:hAnsi="Times New Roman"/>
          <w:lang w:val="bg-BG"/>
        </w:rPr>
        <w:t xml:space="preserve"> </w:t>
      </w:r>
      <w:r w:rsidR="00A95E64" w:rsidRPr="00872B31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В тази връзка в ИГРП на ПКИП за 2025 г. е включена процедура „Внедряване на иновации в МСП на територията на местни инициативни групи (МИГ)“, чрез която ще се осигури допълващото финансиране по програмата. </w:t>
      </w:r>
    </w:p>
    <w:p w:rsidR="0046413D" w:rsidRPr="00872B31" w:rsidRDefault="0046413D" w:rsidP="0046413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623BC7" w:rsidRPr="00872B31" w:rsidRDefault="00954FD8" w:rsidP="0075200D">
      <w:pPr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Обхват на допълващото финансиране по ПКИП:</w:t>
      </w:r>
      <w:r w:rsidR="00951467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</w:t>
      </w:r>
    </w:p>
    <w:p w:rsidR="00951467" w:rsidRPr="00872B31" w:rsidRDefault="00826C50" w:rsidP="0075200D">
      <w:pPr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Мярка </w:t>
      </w:r>
      <w:r w:rsidR="00951467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Внедряване на иновации в МСП</w:t>
      </w:r>
      <w:r w:rsidR="00650041" w:rsidRPr="00872B31">
        <w:rPr>
          <w:rStyle w:val="FootnoteReference"/>
          <w:rFonts w:ascii="Times New Roman" w:eastAsia="Calibri" w:hAnsi="Times New Roman"/>
          <w:b/>
          <w:sz w:val="24"/>
          <w:szCs w:val="24"/>
          <w:lang w:val="bg-BG" w:eastAsia="bg-BG"/>
        </w:rPr>
        <w:footnoteReference w:id="2"/>
      </w:r>
      <w:r w:rsidR="00951467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на територията на местни инициативни групи (МИГ)</w:t>
      </w:r>
      <w:r w:rsidR="00951467" w:rsidRPr="00872B31">
        <w:rPr>
          <w:rFonts w:ascii="Times New Roman" w:eastAsia="Calibri" w:hAnsi="Times New Roman"/>
          <w:b/>
          <w:sz w:val="24"/>
          <w:szCs w:val="24"/>
          <w:vertAlign w:val="superscript"/>
          <w:lang w:val="bg-BG" w:eastAsia="bg-BG"/>
        </w:rPr>
        <w:footnoteReference w:id="3"/>
      </w:r>
    </w:p>
    <w:p w:rsidR="00951467" w:rsidRPr="00872B31" w:rsidRDefault="00951467" w:rsidP="0066586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</w:p>
    <w:p w:rsidR="00623BC7" w:rsidRPr="00872B31" w:rsidRDefault="00071E26" w:rsidP="004A606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1. </w:t>
      </w:r>
      <w:r w:rsidR="00623BC7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Описание на мярката.</w:t>
      </w:r>
    </w:p>
    <w:p w:rsidR="00071E26" w:rsidRPr="00872B31" w:rsidRDefault="004A6060" w:rsidP="004A606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Цел на мярката и очаквани резултати </w:t>
      </w:r>
      <w:r w:rsidR="007A68BD" w:rsidRPr="007A68BD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и ползи за територията в изпълнение на мярката.</w:t>
      </w: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Анализ на нуждите и идентифицирани проблеми на територията, свързани с иновационната активност и внедряването на иновации в предприятията (посочват се спрямо обхвата на допустимите дейности за финансиране от програмата). </w:t>
      </w:r>
      <w:r w:rsidR="00623BC7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П</w:t>
      </w: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риоритети и специфични цели - принос към специфичните цели на програмата.</w:t>
      </w:r>
    </w:p>
    <w:p w:rsidR="00623BC7" w:rsidRPr="00872B31" w:rsidRDefault="00623BC7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Съгласно Споразумението за партньорство, по линия на Европейския фонд за регионално развитие чрез ПКИП, е предвиден финансов ресурс в размер на 2% в изпълнение на подхода ВОМР. Основната цел на допълващото финансиране по ПКИП е предоставяне на подкрепа на МСП на територията на МИГ за внедряване на иновации в тематичните области на Иновационната стратегия за интелигентна специализация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2021-2027 г. (ИСИС 2021-2027 г.). Подкрепата по ПКИП има принос, пряко или косвено, за постигането и на целите на подхода на национално ниво.</w:t>
      </w:r>
    </w:p>
    <w:p w:rsidR="00623BC7" w:rsidRPr="00872B31" w:rsidRDefault="00623BC7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Основните резултати, които се очакват на местно ниво от подкрепата по ПКИП са свързани с нарастване на дела на МСП, които внедряват продуктови иновации или иновации в бизнес процесите в тематичните области на ИСИС 2021-2027, в резултат на което се очаква да се повиши иновационния им капацитет и конкурентоспособност.</w:t>
      </w:r>
    </w:p>
    <w:p w:rsidR="00187BF0" w:rsidRPr="00872B31" w:rsidRDefault="00071E26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Допълва</w:t>
      </w:r>
      <w:r w:rsidR="0090234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щото финансиране по програмата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следва да е в съответствие със спецификите на конкретната територия и потребностите, идентифицирани от SWOT анализа</w:t>
      </w:r>
      <w:r w:rsidR="0090234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  <w:r w:rsidR="00954FD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Заявеното финансиране по ПКИП</w:t>
      </w:r>
      <w:r w:rsidR="0046413D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задължително трябва да произтича от подробен анализ на територията на основа на идентифицираните потребности и следва да описва </w:t>
      </w:r>
      <w:r w:rsidR="0046413D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необходимостта от </w:t>
      </w:r>
      <w:r w:rsidR="00902343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внедряване на иновации</w:t>
      </w:r>
      <w:r w:rsidR="0090234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предприятията </w:t>
      </w:r>
      <w:r w:rsidR="00F36D40" w:rsidRPr="00872B31">
        <w:rPr>
          <w:rFonts w:ascii="Times New Roman" w:eastAsia="Calibri" w:hAnsi="Times New Roman"/>
          <w:sz w:val="24"/>
          <w:szCs w:val="24"/>
          <w:lang w:val="bg-BG" w:eastAsia="bg-BG"/>
        </w:rPr>
        <w:t>на територията на МИГ</w:t>
      </w:r>
      <w:r w:rsidR="0046413D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</w:p>
    <w:p w:rsidR="00187BF0" w:rsidRPr="00872B31" w:rsidRDefault="00187BF0" w:rsidP="00C94C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Съгласно Наръчника от Осло 2018 (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Oslo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Manual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2018: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Guidelines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for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Collecting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Reporting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and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Using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Data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on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Innovation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>, 4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th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Edition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OECD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>/</w:t>
      </w:r>
      <w:r w:rsidRPr="00872B31">
        <w:rPr>
          <w:rFonts w:ascii="Times New Roman" w:eastAsia="Calibri" w:hAnsi="Times New Roman"/>
          <w:sz w:val="24"/>
          <w:szCs w:val="24"/>
          <w:lang w:val="en-GB" w:eastAsia="bg-BG"/>
        </w:rPr>
        <w:t>Eurostat</w:t>
      </w:r>
      <w:r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(2018)</w:t>
      </w:r>
      <w:r w:rsidR="000A0A84"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© </w:t>
      </w:r>
      <w:r w:rsidR="000A0A84" w:rsidRPr="00872B31">
        <w:rPr>
          <w:rFonts w:ascii="Times New Roman" w:eastAsia="Calibri" w:hAnsi="Times New Roman"/>
          <w:sz w:val="24"/>
          <w:szCs w:val="24"/>
          <w:lang w:val="en-GB" w:eastAsia="bg-BG"/>
        </w:rPr>
        <w:t>OECD</w:t>
      </w:r>
      <w:r w:rsidR="000A0A84"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0A0A84" w:rsidRPr="00872B31">
        <w:rPr>
          <w:rFonts w:ascii="Times New Roman" w:eastAsia="Calibri" w:hAnsi="Times New Roman"/>
          <w:sz w:val="24"/>
          <w:szCs w:val="24"/>
          <w:lang w:val="en-GB" w:eastAsia="bg-BG"/>
        </w:rPr>
        <w:t>European</w:t>
      </w:r>
      <w:r w:rsidR="000A0A84" w:rsidRPr="001D129C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0A0A84" w:rsidRPr="00872B31">
        <w:rPr>
          <w:rFonts w:ascii="Times New Roman" w:eastAsia="Calibri" w:hAnsi="Times New Roman"/>
          <w:sz w:val="24"/>
          <w:szCs w:val="24"/>
          <w:lang w:val="en-GB" w:eastAsia="bg-BG"/>
        </w:rPr>
        <w:t>Union</w:t>
      </w:r>
      <w:r w:rsidR="000A0A84" w:rsidRPr="001D129C">
        <w:rPr>
          <w:rFonts w:ascii="Times New Roman" w:eastAsia="Calibri" w:hAnsi="Times New Roman"/>
          <w:sz w:val="24"/>
          <w:szCs w:val="24"/>
          <w:lang w:val="bg-BG" w:eastAsia="bg-BG"/>
        </w:rPr>
        <w:t>, 2018)</w:t>
      </w:r>
      <w:r w:rsidR="000A0A84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„</w:t>
      </w: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Иновация </w:t>
      </w: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е нов или подобрен продукт или процес (или комбинация от двете), който значително се различава от предишните продукти или процеси на предприятието и който е предоставен на потенциални потребители (продукт) или е въведен в употреба от предприятието (процес).</w:t>
      </w:r>
      <w:r w:rsidR="000A0A84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“</w:t>
      </w:r>
    </w:p>
    <w:p w:rsidR="000375EC" w:rsidRPr="00872B31" w:rsidRDefault="00187BF0" w:rsidP="000375EC">
      <w:pPr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По </w:t>
      </w:r>
      <w:r w:rsidR="008E75C0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мярката, по л</w:t>
      </w:r>
      <w:r w:rsidR="00AE732D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иния на допълващото финансиране по ПКИП</w:t>
      </w:r>
      <w:r w:rsidR="008E75C0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,</w:t>
      </w:r>
      <w:r w:rsidR="00AE732D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</w:t>
      </w:r>
      <w:r w:rsidR="00120A39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е предвидено да се</w:t>
      </w: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финансира</w:t>
      </w:r>
      <w:r w:rsidR="00120A39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т</w:t>
      </w: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САМО проекти, внедряващи продуктова иновация</w:t>
      </w:r>
      <w:r w:rsidR="009574CC" w:rsidRPr="00872B31">
        <w:rPr>
          <w:rStyle w:val="FootnoteReference"/>
          <w:rFonts w:ascii="Times New Roman" w:eastAsia="Calibri" w:hAnsi="Times New Roman"/>
          <w:sz w:val="24"/>
          <w:szCs w:val="24"/>
          <w:lang w:val="bg-BG" w:eastAsia="bg-BG"/>
        </w:rPr>
        <w:footnoteReference w:id="4"/>
      </w: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или иновация в бизнес процесите</w:t>
      </w:r>
      <w:r w:rsidR="009574CC" w:rsidRPr="00872B31">
        <w:rPr>
          <w:rStyle w:val="FootnoteReference"/>
          <w:rFonts w:ascii="Times New Roman" w:eastAsia="Calibri" w:hAnsi="Times New Roman"/>
          <w:sz w:val="24"/>
          <w:szCs w:val="24"/>
          <w:lang w:val="bg-BG" w:eastAsia="bg-BG"/>
        </w:rPr>
        <w:footnoteReference w:id="5"/>
      </w:r>
      <w:r w:rsidR="00640ACB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(насочена към производство на стоки и предоставяне на услуги)</w:t>
      </w:r>
      <w:r w:rsidR="000375EC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, които попадат в някоя от</w:t>
      </w:r>
      <w:r w:rsidR="000375EC"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тематичните области</w:t>
      </w:r>
      <w:r w:rsidR="000375EC" w:rsidRPr="001D129C">
        <w:rPr>
          <w:rFonts w:ascii="Times New Roman" w:hAnsi="Times New Roman"/>
          <w:i/>
          <w:sz w:val="24"/>
          <w:szCs w:val="24"/>
          <w:lang w:val="bg-BG" w:eastAsia="bg-BG"/>
        </w:rPr>
        <w:t xml:space="preserve"> </w:t>
      </w:r>
      <w:r w:rsidR="000375EC" w:rsidRPr="00872B31">
        <w:rPr>
          <w:rFonts w:ascii="Times New Roman" w:hAnsi="Times New Roman"/>
          <w:i/>
          <w:sz w:val="24"/>
          <w:szCs w:val="24"/>
          <w:lang w:val="bg-BG" w:eastAsia="bg-BG"/>
        </w:rPr>
        <w:t>и подобласти на ИСИС 2021-2027</w:t>
      </w:r>
      <w:r w:rsidR="00DA61E2" w:rsidRPr="00872B31">
        <w:rPr>
          <w:rFonts w:ascii="Times New Roman" w:hAnsi="Times New Roman"/>
          <w:i/>
          <w:sz w:val="24"/>
          <w:szCs w:val="24"/>
          <w:lang w:val="bg-BG" w:eastAsia="bg-BG"/>
        </w:rPr>
        <w:t>, посочени в Приложение № 2.</w:t>
      </w:r>
    </w:p>
    <w:p w:rsidR="00187BF0" w:rsidRPr="00872B31" w:rsidRDefault="0046413D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допълнение, </w:t>
      </w:r>
      <w:r w:rsidR="00954FD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по отношение на заявеното финансиране</w:t>
      </w:r>
      <w:r w:rsidR="008E75C0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8D6B30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трябва да </w:t>
      </w:r>
      <w:r w:rsidR="00954FD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се </w:t>
      </w:r>
      <w:r w:rsidR="008D6B30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посочи към какви местни специфики/п</w:t>
      </w:r>
      <w:r w:rsidR="00456286" w:rsidRPr="00872B31">
        <w:rPr>
          <w:rFonts w:ascii="Times New Roman" w:eastAsia="Calibri" w:hAnsi="Times New Roman"/>
          <w:sz w:val="24"/>
          <w:szCs w:val="24"/>
          <w:lang w:val="bg-BG" w:eastAsia="bg-BG"/>
        </w:rPr>
        <w:t>роблеми</w:t>
      </w:r>
      <w:r w:rsidR="008D6B30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е насочена, какви са очакваните резултати и ползи за територията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приносът към специфичните цели на програмата</w:t>
      </w:r>
      <w:r w:rsidR="001F3D69" w:rsidRPr="00872B31">
        <w:rPr>
          <w:rFonts w:ascii="Times New Roman" w:eastAsia="Calibri" w:hAnsi="Times New Roman"/>
          <w:sz w:val="24"/>
          <w:szCs w:val="24"/>
          <w:lang w:val="bg-BG" w:eastAsia="bg-BG"/>
        </w:rPr>
        <w:t>, както и ефектът от подкрепата за територията на МИГ</w:t>
      </w:r>
      <w:r w:rsidR="0090234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</w:p>
    <w:p w:rsidR="00DA61E2" w:rsidRPr="00872B31" w:rsidRDefault="00DA61E2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8D6B30" w:rsidRPr="00872B31" w:rsidRDefault="00954FD8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Заявеното финансиране по ПКИП от страна на МИГ</w:t>
      </w:r>
      <w:r w:rsidR="008E75C0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може</w:t>
      </w:r>
      <w:r w:rsidR="00134A1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да </w:t>
      </w:r>
      <w:r w:rsidR="00665862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попада в обхвата на </w:t>
      </w:r>
      <w:r w:rsidR="00187BF0" w:rsidRPr="00872B31">
        <w:rPr>
          <w:rFonts w:ascii="Times New Roman" w:eastAsia="Calibri" w:hAnsi="Times New Roman"/>
          <w:sz w:val="24"/>
          <w:szCs w:val="24"/>
          <w:lang w:val="bg-BG" w:eastAsia="bg-BG"/>
        </w:rPr>
        <w:t>следните</w:t>
      </w:r>
      <w:r w:rsidR="00665862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приоритети</w:t>
      </w:r>
      <w:r w:rsidR="00120A39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специфични цели</w:t>
      </w:r>
      <w:r w:rsidR="00084257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ПКИП</w:t>
      </w:r>
      <w:r w:rsidR="008D6B30" w:rsidRPr="00872B31">
        <w:rPr>
          <w:rFonts w:ascii="Times New Roman" w:eastAsia="Calibri" w:hAnsi="Times New Roman"/>
          <w:sz w:val="24"/>
          <w:szCs w:val="24"/>
          <w:lang w:val="bg-BG" w:eastAsia="bg-BG"/>
        </w:rPr>
        <w:t>:</w:t>
      </w:r>
    </w:p>
    <w:p w:rsidR="008D6B30" w:rsidRPr="00872B31" w:rsidRDefault="008D6B30" w:rsidP="008D6B3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•</w:t>
      </w: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ab/>
        <w:t>Приоритет 1 „Иновации и растеж“,  Специфична цел „Развитие и засилване на капацитета за научни изследвания и иновации и на внедр</w:t>
      </w:r>
      <w:r w:rsidR="00B45FF2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яването на модерни технологии“</w:t>
      </w:r>
      <w:r w:rsidR="00566956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и</w:t>
      </w:r>
    </w:p>
    <w:p w:rsidR="00954FD8" w:rsidRPr="00872B31" w:rsidRDefault="00954FD8" w:rsidP="00954FD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•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ab/>
      </w: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Приоритет 2 „Кръгова икономика“, Специфична цел „Насърчаване на прехода към кръгова и основаваща се на ефективно използване на ресурсите икономика“.</w:t>
      </w:r>
    </w:p>
    <w:p w:rsidR="00B45FF2" w:rsidRPr="00872B31" w:rsidRDefault="00B45FF2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Предвидена е подкрепа за внедряване на иновации в предприятията чрез въвеждане на продуктова иновация или иновация в бизнес процесите</w:t>
      </w:r>
      <w:r w:rsidR="00581D8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87BF0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>тематични</w:t>
      </w:r>
      <w:r w:rsidR="00954FD8" w:rsidRPr="00872B31">
        <w:rPr>
          <w:rFonts w:ascii="Times New Roman" w:eastAsia="Calibri" w:hAnsi="Times New Roman"/>
          <w:sz w:val="24"/>
          <w:szCs w:val="24"/>
          <w:lang w:val="bg-BG" w:eastAsia="bg-BG"/>
        </w:rPr>
        <w:t>те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области на </w:t>
      </w:r>
      <w:r w:rsidR="00E92D5F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стратегията за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интелигентна специализация</w:t>
      </w:r>
      <w:r w:rsidR="00120A39" w:rsidRPr="00872B31">
        <w:rPr>
          <w:rFonts w:ascii="Times New Roman" w:eastAsia="Calibri" w:hAnsi="Times New Roman"/>
          <w:sz w:val="24"/>
          <w:szCs w:val="24"/>
          <w:lang w:val="bg-BG" w:eastAsia="bg-BG"/>
        </w:rPr>
        <w:t>: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“Информатика и ИКТ”;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“Мехатроника и микроелектроника”;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“Индустрии за здравословен живот, биоикономика и биотехнологии”;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“Нови технологии в креативни и рекреативни индустрии”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84671" w:rsidRPr="00872B31">
        <w:rPr>
          <w:rFonts w:ascii="Times New Roman" w:eastAsia="Calibri" w:hAnsi="Times New Roman"/>
          <w:sz w:val="24"/>
          <w:szCs w:val="24"/>
          <w:lang w:val="bg-BG" w:eastAsia="bg-BG"/>
        </w:rPr>
        <w:t>и “Чисти технологии, кръгова и нисковъглеродна икономика”</w:t>
      </w:r>
      <w:r w:rsidR="00566956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>на ИСИС 2021-2027.</w:t>
      </w:r>
    </w:p>
    <w:p w:rsidR="00B1621C" w:rsidRPr="00872B31" w:rsidRDefault="00B1621C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Очакваният принос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 подкрепените проекти</w:t>
      </w:r>
      <w:r w:rsidR="00951467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следва да е повишаване на иновационната активност и конкурентоспособност на предприятията и нарастване на дела на предприятията, които внедряват иновации</w:t>
      </w:r>
      <w:r w:rsidR="00566956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тематичните области на ИСИС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. Чрез изпълнението на подобен вид проекти ще се създадат условия за въвеждане в МСП на местно ниво на интелигентни и ориентирани към новите технологии решения.</w:t>
      </w:r>
    </w:p>
    <w:p w:rsidR="00B1621C" w:rsidRPr="00872B31" w:rsidRDefault="00B1621C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0375EC" w:rsidRPr="00872B31" w:rsidRDefault="00552075" w:rsidP="00640AC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Важно:</w:t>
      </w: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</w:t>
      </w:r>
      <w:r w:rsidR="007304B2" w:rsidRPr="00872B31">
        <w:rPr>
          <w:rFonts w:ascii="Times New Roman" w:eastAsia="Calibri" w:hAnsi="Times New Roman"/>
          <w:sz w:val="24"/>
          <w:szCs w:val="24"/>
          <w:lang w:val="bg-BG" w:eastAsia="bg-BG"/>
        </w:rPr>
        <w:t>За</w:t>
      </w:r>
      <w:r w:rsidR="00566956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осигуряване на допълващо финансиране по програмата, УО на ПКИП има ангажимент да структурир</w:t>
      </w:r>
      <w:r w:rsidR="00E92D5F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а процедура за предоставяне на безвъзмездна финансова помощ, която 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>ще включва ресурс и от двата приоритета на програмата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. П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роекти, които са свързани с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иновации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обхвата на тематичните области на </w:t>
      </w:r>
      <w:r w:rsidR="00E92D5F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стратегията за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интелигентна специализация “Информатика и ИКТ”; “Мехатроника и микроелектроника”; “Индустрии за здравословен живот, биоикономика и биотехнологии”; “Нови технологии в креативни и рекреативни индустрии”</w:t>
      </w:r>
      <w:r w:rsidR="00640ACB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ще бъдат финансирани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Приоритет 1 „Иновации и растеж“</w:t>
      </w:r>
      <w:r w:rsidR="00730451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ПКИП</w:t>
      </w:r>
      <w:r w:rsidR="00256EE9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ще</w:t>
      </w:r>
      <w:r w:rsidR="00640ACB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следва да</w:t>
      </w:r>
      <w:r w:rsidR="00256EE9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допри</w:t>
      </w:r>
      <w:r w:rsidR="00E92D5F" w:rsidRPr="00872B31">
        <w:rPr>
          <w:rFonts w:ascii="Times New Roman" w:eastAsia="Calibri" w:hAnsi="Times New Roman"/>
          <w:sz w:val="24"/>
          <w:szCs w:val="24"/>
          <w:lang w:val="bg-BG" w:eastAsia="bg-BG"/>
        </w:rPr>
        <w:t>насят за изпълнението на специфична цел  „Развитие и засилване на капацитета за научни изследвания и иновации и на внедряването на модерни технологии“,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а проекти, които включват иновации в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тематичната област “Чисти технологии, кръгова и нисковъглеродна икономика”</w:t>
      </w:r>
      <w:r w:rsidR="00566956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ИСИС</w:t>
      </w:r>
      <w:r w:rsidR="00640ACB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ще се финансират със средства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Приоритет 2 „Кръгова икономика“</w:t>
      </w:r>
      <w:r w:rsidR="00256EE9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ще </w:t>
      </w:r>
      <w:r w:rsidR="00640ACB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следва да </w:t>
      </w:r>
      <w:r w:rsidR="00256EE9" w:rsidRPr="00872B31">
        <w:rPr>
          <w:rFonts w:ascii="Times New Roman" w:eastAsia="Calibri" w:hAnsi="Times New Roman"/>
          <w:sz w:val="24"/>
          <w:szCs w:val="24"/>
          <w:lang w:val="bg-BG" w:eastAsia="bg-BG"/>
        </w:rPr>
        <w:t>допринасят съответно за изпълнението на специфична цел „Насърчаване на прехода към кръгова и основаваща се на ефективно използване на ресурсите икономика“</w:t>
      </w:r>
      <w:r w:rsidR="000375EC" w:rsidRPr="00872B31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  <w:r w:rsidR="000375EC"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 </w:t>
      </w:r>
    </w:p>
    <w:p w:rsidR="007304B2" w:rsidRPr="00872B31" w:rsidRDefault="007304B2" w:rsidP="000375EC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</w:p>
    <w:p w:rsidR="00D913F1" w:rsidRPr="00872B31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2</w:t>
      </w:r>
      <w:r w:rsidR="00456286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D913F1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Допустими дейности, към които </w:t>
      </w:r>
      <w:r w:rsidR="00981D95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е</w:t>
      </w:r>
      <w:r w:rsidR="00D913F1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насочено допълващото финансиране по ПКИП.  </w:t>
      </w:r>
    </w:p>
    <w:p w:rsidR="00B1621C" w:rsidRPr="00872B31" w:rsidRDefault="00623684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Проектите по линия на допълващото финансиране по ПКИП</w:t>
      </w:r>
      <w:r w:rsidR="001A7DE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следва да осигуряват възможности за </w:t>
      </w:r>
      <w:r w:rsidR="005328C3" w:rsidRPr="00872B31">
        <w:rPr>
          <w:rFonts w:ascii="Times New Roman" w:eastAsia="Calibri" w:hAnsi="Times New Roman"/>
          <w:sz w:val="24"/>
          <w:szCs w:val="24"/>
          <w:lang w:val="bg-BG" w:eastAsia="bg-BG"/>
        </w:rPr>
        <w:t>внедряване</w:t>
      </w:r>
      <w:r w:rsidR="001A7DE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иновации </w:t>
      </w:r>
      <w:r w:rsidR="005328C3" w:rsidRPr="00872B31">
        <w:rPr>
          <w:rFonts w:ascii="Times New Roman" w:eastAsia="Calibri" w:hAnsi="Times New Roman"/>
          <w:sz w:val="24"/>
          <w:szCs w:val="24"/>
          <w:lang w:val="bg-BG" w:eastAsia="bg-BG"/>
        </w:rPr>
        <w:t>в МСП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, попадащи</w:t>
      </w:r>
      <w:r w:rsidR="005328C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A7DE8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някоя от </w:t>
      </w:r>
      <w:r w:rsidR="001A7DE8" w:rsidRPr="00872B31">
        <w:rPr>
          <w:rFonts w:ascii="Times New Roman" w:eastAsia="Calibri" w:hAnsi="Times New Roman"/>
          <w:sz w:val="24"/>
          <w:szCs w:val="24"/>
          <w:lang w:val="bg-BG" w:eastAsia="bg-BG"/>
        </w:rPr>
        <w:t>петте тематични области на ИСИС 2021-2027</w:t>
      </w:r>
      <w:r w:rsidR="00B1621C" w:rsidRPr="00872B31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За целта </w:t>
      </w:r>
      <w:r w:rsidR="00893CD7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е предвидено да бъдат допустими за подкрепа следните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дейности:</w:t>
      </w:r>
    </w:p>
    <w:p w:rsidR="00456286" w:rsidRPr="00872B31" w:rsidRDefault="00456286" w:rsidP="00456286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Дейност 1. Внедряване на продуктова иновация (стока или услуга) или иновация в бизнес процесите посредством придобиване на машини, съоръжения и оборудване, представляващи дълготрайни материални активи (ДМА).</w:t>
      </w:r>
    </w:p>
    <w:p w:rsidR="00456286" w:rsidRPr="00872B31" w:rsidRDefault="00456286" w:rsidP="00456286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i/>
          <w:sz w:val="24"/>
          <w:szCs w:val="24"/>
          <w:lang w:val="bg-BG" w:eastAsia="bg-BG"/>
        </w:rPr>
        <w:t>Дейност 2. Внедряване на продуктова иновация (стока или услуга) или иновация в бизнес процесите посредством придобиване на специализиран софтуер (вкл. разработване), патенти, лицензи, „ноу хау” и др., представляващи дълготрайни нематериални активи (ДНА).</w:t>
      </w:r>
    </w:p>
    <w:p w:rsidR="00623684" w:rsidRDefault="00893CD7" w:rsidP="00893CD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Проектните предложения ще може да включват една или и двете допустими дейности. УО си запазва правото да включи и други допълнителни дейности, които са пряко свързани с процеса по внедряване на иновации.</w:t>
      </w:r>
    </w:p>
    <w:p w:rsidR="008E6203" w:rsidRPr="001D129C" w:rsidRDefault="008E6203" w:rsidP="008E6203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8E6203">
        <w:rPr>
          <w:rFonts w:ascii="Times New Roman" w:eastAsia="Calibri" w:hAnsi="Times New Roman"/>
          <w:b/>
          <w:sz w:val="24"/>
          <w:szCs w:val="24"/>
          <w:lang w:val="bg-BG" w:eastAsia="bg-BG"/>
        </w:rPr>
        <w:t>В края на изпълнението на проектите следва да е налице внедрена в предприятието продуктова иновация (стока или услуга) или иновация в бизнес процесите, насочена към производство на стоки и предоставяне на услуги</w:t>
      </w:r>
      <w:r w:rsidRPr="001D129C">
        <w:rPr>
          <w:rFonts w:ascii="Times New Roman" w:eastAsia="Calibri" w:hAnsi="Times New Roman"/>
          <w:b/>
          <w:sz w:val="24"/>
          <w:szCs w:val="24"/>
          <w:lang w:val="bg-BG" w:eastAsia="bg-BG"/>
        </w:rPr>
        <w:t>.</w:t>
      </w:r>
    </w:p>
    <w:p w:rsidR="005E2B14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5E2B14" w:rsidRPr="005E2B14" w:rsidRDefault="00ED14D9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8E6203">
        <w:rPr>
          <w:rFonts w:ascii="Times New Roman" w:eastAsia="Calibri" w:hAnsi="Times New Roman"/>
          <w:b/>
          <w:sz w:val="24"/>
          <w:szCs w:val="24"/>
          <w:lang w:val="bg-BG" w:eastAsia="bg-BG"/>
        </w:rPr>
        <w:t>Важно!</w:t>
      </w:r>
      <w:r w:rsidR="008E6203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5E2B14" w:rsidRPr="005E2B14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При изпълнение на дейностите следва да се спазват хоризонталните принципи, заложени в чл. 9 на Регламент (ЕС) 2021/1060 на Европейския парламент и на Съвета: </w:t>
      </w:r>
    </w:p>
    <w:p w:rsidR="005E2B14" w:rsidRPr="005E2B14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5E2B14">
        <w:rPr>
          <w:rFonts w:ascii="Times New Roman" w:eastAsia="Calibri" w:hAnsi="Times New Roman"/>
          <w:sz w:val="24"/>
          <w:szCs w:val="24"/>
          <w:lang w:val="bg-BG" w:eastAsia="bg-BG"/>
        </w:rPr>
        <w:t>- зачитането на основните права и спазването на Хартата на основните права на Европейския съюз ;</w:t>
      </w:r>
    </w:p>
    <w:p w:rsidR="005E2B14" w:rsidRPr="005E2B14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5E2B14">
        <w:rPr>
          <w:rFonts w:ascii="Times New Roman" w:eastAsia="Calibri" w:hAnsi="Times New Roman"/>
          <w:sz w:val="24"/>
          <w:szCs w:val="24"/>
          <w:lang w:val="bg-BG" w:eastAsia="bg-BG"/>
        </w:rPr>
        <w:t>- равенството между мъжете и жените, интегрирането на принципа на равенство между половете и отчитането на социалните аспекти на пола;</w:t>
      </w:r>
    </w:p>
    <w:p w:rsidR="005E2B14" w:rsidRPr="005E2B14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5E2B14">
        <w:rPr>
          <w:rFonts w:ascii="Times New Roman" w:eastAsia="Calibri" w:hAnsi="Times New Roman"/>
          <w:sz w:val="24"/>
          <w:szCs w:val="24"/>
          <w:lang w:val="bg-BG" w:eastAsia="bg-BG"/>
        </w:rPr>
        <w:t>- недопускане на всякаква дискриминация, основана на пол, расов или етнически произход, религия или вероизповедание, увреждане, възраст или сексуална ориентация;</w:t>
      </w:r>
    </w:p>
    <w:p w:rsidR="005E2B14" w:rsidRPr="005E2B14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5E2B14">
        <w:rPr>
          <w:rFonts w:ascii="Times New Roman" w:eastAsia="Calibri" w:hAnsi="Times New Roman"/>
          <w:sz w:val="24"/>
          <w:szCs w:val="24"/>
          <w:lang w:val="bg-BG" w:eastAsia="bg-BG"/>
        </w:rPr>
        <w:t>- достъпност за хората с увреждания (вкл. спазване правата и принципите, залегнали в Конвенцията на ООН за правата на хората с увреждания);</w:t>
      </w:r>
    </w:p>
    <w:p w:rsidR="00C83C86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5E2B14">
        <w:rPr>
          <w:rFonts w:ascii="Times New Roman" w:eastAsia="Calibri" w:hAnsi="Times New Roman"/>
          <w:sz w:val="24"/>
          <w:szCs w:val="24"/>
          <w:lang w:val="bg-BG" w:eastAsia="bg-BG"/>
        </w:rPr>
        <w:t>- целта за насърчаване на устойчивото развитие, посочена в член 11 от ДФЕС, като се отчитат целите на ООН за устойчиво развитие, Парижкото споразумение и принципа за „ненанасяне на значителни вреди“.</w:t>
      </w:r>
    </w:p>
    <w:p w:rsidR="005E2B14" w:rsidRDefault="005E2B14" w:rsidP="00ED14D9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ED14D9" w:rsidRPr="00ED14D9" w:rsidRDefault="00ED14D9" w:rsidP="00ED14D9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>
        <w:rPr>
          <w:rFonts w:ascii="Times New Roman" w:eastAsia="Calibri" w:hAnsi="Times New Roman"/>
          <w:sz w:val="24"/>
          <w:szCs w:val="24"/>
          <w:lang w:val="bg-BG" w:eastAsia="bg-BG"/>
        </w:rPr>
        <w:t>В съответствие с допустимите дейности се определят д</w:t>
      </w:r>
      <w:r w:rsidRPr="00ED14D9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опустимите разходи на база </w:t>
      </w:r>
      <w:r>
        <w:rPr>
          <w:rFonts w:ascii="Times New Roman" w:eastAsia="Calibri" w:hAnsi="Times New Roman"/>
          <w:sz w:val="24"/>
          <w:szCs w:val="24"/>
          <w:lang w:val="bg-BG" w:eastAsia="bg-BG"/>
        </w:rPr>
        <w:t xml:space="preserve">на </w:t>
      </w:r>
      <w:r w:rsidRPr="00ED14D9">
        <w:rPr>
          <w:rFonts w:ascii="Times New Roman" w:eastAsia="Calibri" w:hAnsi="Times New Roman"/>
          <w:sz w:val="24"/>
          <w:szCs w:val="24"/>
          <w:lang w:val="bg-BG" w:eastAsia="bg-BG"/>
        </w:rPr>
        <w:t xml:space="preserve">изискванията на глава 5, раздел I от ЗУСЕФСУ, разпоредбите на Регламент № 2018/1046, Регламент (ЕС) 2021/1057, Регламент (ЕС) 2021/1060 и приложимото национално законодателство за финансовата рамка 2021 – 2027. </w:t>
      </w:r>
    </w:p>
    <w:p w:rsidR="00ED14D9" w:rsidRPr="00872B31" w:rsidRDefault="00ED14D9" w:rsidP="00E92D5F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1A7DE8" w:rsidRPr="00872B31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3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E463ED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Допустими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целеви групи, към които е насочено </w:t>
      </w:r>
      <w:r w:rsidR="00E463ED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допълващото финансиране по ПКИП</w:t>
      </w:r>
      <w:r w:rsidR="00623BC7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</w:t>
      </w:r>
      <w:r w:rsidR="00BE30AF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(</w:t>
      </w:r>
      <w:r w:rsidR="00071E26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заинтересовани 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на територията на МИГ</w:t>
      </w:r>
      <w:r w:rsidR="00BE30AF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)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</w:p>
    <w:p w:rsidR="001A7DE8" w:rsidRPr="00872B31" w:rsidRDefault="001A7DE8" w:rsidP="00836639">
      <w:pPr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Основните целеви групи </w:t>
      </w:r>
      <w:r w:rsidR="00791825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на територията на МИГ </w:t>
      </w:r>
      <w:r w:rsidR="00FD1712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по линия на ПКИП </w:t>
      </w: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са </w:t>
      </w:r>
      <w:r w:rsidR="00791825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микро, малки и средни предприятия </w:t>
      </w:r>
      <w:r w:rsidR="00836639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съгласно Закона за малките и средни</w:t>
      </w:r>
      <w:r w:rsidR="00DA61E2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те</w:t>
      </w:r>
      <w:r w:rsidR="00836639"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предприятия</w:t>
      </w:r>
      <w:r w:rsidRPr="00872B31">
        <w:rPr>
          <w:rFonts w:ascii="Times New Roman" w:eastAsia="Calibri" w:hAnsi="Times New Roman"/>
          <w:b/>
          <w:sz w:val="24"/>
          <w:szCs w:val="24"/>
          <w:lang w:val="bg-BG" w:eastAsia="bg-BG"/>
        </w:rPr>
        <w:t>.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</w:p>
    <w:p w:rsidR="006B691D" w:rsidRPr="00872B31" w:rsidRDefault="006B691D" w:rsidP="006B691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Допустимите кандидати следва да имат адресна регистрация, да извършват дейността си и да са заявили подкрепа за дейности, осъществявани на територията на МИГ. Кандидатите </w:t>
      </w:r>
      <w:r w:rsidR="00791825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могат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да </w:t>
      </w:r>
      <w:r w:rsidR="00791825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развиват дейност в различни сектори на икономиката и трябва </w:t>
      </w:r>
      <w:r w:rsidR="00E463ED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да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отговарят на условията за бенефициент, определени в </w:t>
      </w:r>
      <w:r w:rsidR="00535884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Закона за управление на средствата от европейските фондове при споделено управление 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и в приложимата подзаконова нормативна уредба</w:t>
      </w:r>
      <w:r w:rsidR="00FD1712" w:rsidRPr="00872B31">
        <w:rPr>
          <w:rFonts w:ascii="Times New Roman" w:eastAsia="Calibri" w:hAnsi="Times New Roman"/>
          <w:sz w:val="24"/>
          <w:szCs w:val="24"/>
          <w:lang w:val="bg-BG" w:eastAsia="bg-BG"/>
        </w:rPr>
        <w:t>. В рамките на процедурата за подбор на проекти ще има включени и допълнителни изисквания, с които МСП ще следва да се съобразят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192342" w:rsidRPr="00872B31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С цел избягване на припокриването на интервенции между ПКИП и Стратегическия план за развитие на земеделието и селски</w:t>
      </w:r>
      <w:r w:rsidR="00E463ED" w:rsidRPr="00872B31">
        <w:rPr>
          <w:rFonts w:ascii="Times New Roman" w:eastAsia="Calibri" w:hAnsi="Times New Roman"/>
          <w:sz w:val="24"/>
          <w:szCs w:val="24"/>
          <w:lang w:val="bg-BG" w:eastAsia="bg-BG"/>
        </w:rPr>
        <w:t>те райони 2023-2027 (СПРЗСР) по линия на допълващото финансиране на ПКИП няма да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могат да получават подкрепа кандидати, които са:</w:t>
      </w:r>
    </w:p>
    <w:p w:rsidR="00CD1943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• предприятия, кандидатстващи за финансиране на дейности за преработка и/или маркетинг на горски продукти</w:t>
      </w:r>
      <w:r w:rsidR="00CD1943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192342" w:rsidRPr="00872B31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• микропредприятия по смисъла на чл. 3-4 от ЗМСП, които имат седалище или клон със седалище на територията на селски район, и са заявили за подпомагане дейности по проекта, които ще се осъществяват в община на територията на селските райони в Република България. Списък на общините в обхвата на селските райони на Република България е посочен в Приложение № 2 към чл. 3, ал. 1, т. 3</w:t>
      </w:r>
      <w:r w:rsidR="009A1F1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ПМС № 23/2023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0D59C8" w:rsidRPr="00872B31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• предприятия, кандидатстващи за финансиране на икономически дейности, които съгласно КИД-20</w:t>
      </w:r>
      <w:r w:rsidR="00BC1FDE" w:rsidRPr="00872B31">
        <w:rPr>
          <w:rFonts w:ascii="Times New Roman" w:eastAsia="Calibri" w:hAnsi="Times New Roman"/>
          <w:sz w:val="24"/>
          <w:szCs w:val="24"/>
          <w:lang w:val="bg-BG" w:eastAsia="bg-BG"/>
        </w:rPr>
        <w:t>08</w:t>
      </w: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НСИ попадат в сектор С - раздел 10 „Производство на хранителни продукти” и раздел 11 „Производство на напитки”</w:t>
      </w:r>
      <w:r w:rsidR="009A1F13" w:rsidRPr="00872B31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допустими за подпомагане по СПРЗСР.</w:t>
      </w:r>
    </w:p>
    <w:p w:rsidR="009A1F13" w:rsidRPr="00872B31" w:rsidRDefault="009A1F13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sz w:val="24"/>
          <w:szCs w:val="24"/>
          <w:lang w:val="bg-BG" w:eastAsia="bg-BG"/>
        </w:rPr>
        <w:t>• предприятия, кандидатстващи за финансиране на дейности, попадащи в обхвата на сектор риболов и сектора на рибарството и аквакултурите, които са целева група за подкрепа по Програмата за морско дело, рибарство и аквакултури 2021-2027 г. (ПМДРА).</w:t>
      </w:r>
    </w:p>
    <w:p w:rsidR="009D3B43" w:rsidRPr="00872B31" w:rsidRDefault="009D3B43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071E26" w:rsidRPr="00872B31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4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A043E7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Размер на заявеното финансиране от МИГ и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разпределение на средствата по </w:t>
      </w:r>
      <w:r w:rsidR="008756B0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приоритети</w:t>
      </w:r>
      <w:r w:rsidR="001A7DE8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/специфични цели. </w:t>
      </w:r>
    </w:p>
    <w:p w:rsidR="00BE4788" w:rsidRPr="00872B31" w:rsidRDefault="00A043E7" w:rsidP="00535884">
      <w:pPr>
        <w:spacing w:line="276" w:lineRule="auto"/>
        <w:ind w:firstLine="851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За информация, о</w:t>
      </w:r>
      <w:r w:rsidR="00094134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бщият ресурс на предвиденото допълващо финансиране по ВОМР (по региони и приоритети) е </w:t>
      </w:r>
      <w:r w:rsidR="00650041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представен в Таблица № 1</w:t>
      </w:r>
      <w:r w:rsidR="00D913F1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(</w:t>
      </w:r>
      <w:r w:rsidR="00094134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Европейския фонд за регионално развитие и съответстващото национално съфинансиране</w:t>
      </w:r>
      <w:r w:rsidR="00D913F1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)</w:t>
      </w:r>
      <w:r w:rsidR="00094134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.</w:t>
      </w:r>
    </w:p>
    <w:p w:rsidR="00F178E2" w:rsidRPr="00872B31" w:rsidRDefault="00F178E2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</w:pPr>
    </w:p>
    <w:p w:rsidR="00BE4788" w:rsidRPr="00872B31" w:rsidRDefault="008C09D1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>Таблица</w:t>
      </w:r>
      <w:r w:rsidR="00650041" w:rsidRPr="00872B31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 xml:space="preserve"> №</w:t>
      </w:r>
      <w:r w:rsidRPr="00872B31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>1</w:t>
      </w:r>
    </w:p>
    <w:p w:rsidR="00650041" w:rsidRPr="00872B31" w:rsidRDefault="00650041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126"/>
        <w:gridCol w:w="1996"/>
        <w:gridCol w:w="1831"/>
      </w:tblGrid>
      <w:tr w:rsidR="00094134" w:rsidRPr="00872B31" w:rsidTr="00CE523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>Тематични области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Регион в преход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ЮЗР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(ЕФРР + нац. съфинансиране)</w:t>
            </w:r>
          </w:p>
          <w:p w:rsidR="00094134" w:rsidRPr="001D129C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</w:tc>
        <w:tc>
          <w:tcPr>
            <w:tcW w:w="1996" w:type="dxa"/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По-слабо развити региони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>СЗР, СЦР, СИР, ЮИР, ЮЦР</w:t>
            </w:r>
            <w:r w:rsidRPr="00872B31">
              <w:rPr>
                <w:rFonts w:ascii="Times New Roman" w:hAnsi="Times New Roman"/>
                <w:b/>
                <w:snapToGrid w:val="0"/>
                <w:vertAlign w:val="superscript"/>
                <w:lang w:val="bg-BG" w:eastAsia="bg-BG"/>
              </w:rPr>
              <w:footnoteReference w:id="6"/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>(ЕФРР + нац. съфинансиране)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Общо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lang w:val="bg-BG" w:eastAsia="bg-BG"/>
              </w:rPr>
              <w:t>(ЕФРР + нац. съфинансиране)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</w:tr>
      <w:tr w:rsidR="00094134" w:rsidRPr="00872B31" w:rsidTr="00CE523B">
        <w:tc>
          <w:tcPr>
            <w:tcW w:w="32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>Приоритет 1 „Иновации и растеж</w:t>
            </w: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“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 Тематични области: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1. “Информатика и ИКТ”;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2. “Мехатроника и микроелектроника”;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3. “Индустрии за здравословен живот и биоикономика и биотехнологии”;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4. “Нови технологии в креативни и рекреативни индустрии”.</w:t>
            </w:r>
          </w:p>
          <w:p w:rsidR="00F620E0" w:rsidRPr="00872B31" w:rsidRDefault="00F620E0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1 700 943 евро 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(3 326 756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872B31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5E2B14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12 606 988 евро (24 657 125 лева)</w:t>
            </w:r>
            <w:r w:rsidR="000176AF"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,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от които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8 100 000  евро </w:t>
            </w:r>
          </w:p>
          <w:p w:rsidR="00094134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(15 842 223 лева) за СЗР, СЦР и СИР</w:t>
            </w:r>
          </w:p>
          <w:p w:rsidR="000176AF" w:rsidRPr="00872B31" w:rsidRDefault="000176AF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14 307 931 евро (27 983 881 лева)</w:t>
            </w:r>
          </w:p>
        </w:tc>
      </w:tr>
      <w:tr w:rsidR="00094134" w:rsidRPr="00872B31" w:rsidTr="00CE523B">
        <w:tc>
          <w:tcPr>
            <w:tcW w:w="3261" w:type="dxa"/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 xml:space="preserve">Приоритет 2 „Кръгова </w:t>
            </w: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lastRenderedPageBreak/>
              <w:t>икономика“</w:t>
            </w: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  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Тематична област: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5. “Чисти технологии, кръгова и нисковъглеродна икономика”.</w:t>
            </w:r>
          </w:p>
          <w:p w:rsidR="00F620E0" w:rsidRPr="00872B31" w:rsidRDefault="00F620E0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lastRenderedPageBreak/>
              <w:t xml:space="preserve">1 700 943 евро 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lastRenderedPageBreak/>
              <w:t>(3 326 756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872B31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</w:p>
          <w:p w:rsidR="005E2B14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lastRenderedPageBreak/>
              <w:t>12 606 988 евро (24 657 125 лева)</w:t>
            </w:r>
            <w:r w:rsidR="000176AF"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,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от които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8 100 000  евро </w:t>
            </w:r>
          </w:p>
          <w:p w:rsidR="00094134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>(15 842 223 лева) за СЗР, СЦР и СИР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lastRenderedPageBreak/>
              <w:t xml:space="preserve">14 307 931 евро </w:t>
            </w: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lastRenderedPageBreak/>
              <w:t>(27 983 881 лева)</w:t>
            </w:r>
          </w:p>
        </w:tc>
      </w:tr>
      <w:tr w:rsidR="00094134" w:rsidRPr="00872B31" w:rsidTr="00CE523B">
        <w:tc>
          <w:tcPr>
            <w:tcW w:w="3261" w:type="dxa"/>
            <w:shd w:val="clear" w:color="auto" w:fill="D9D9D9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lastRenderedPageBreak/>
              <w:t xml:space="preserve">Общо  </w:t>
            </w:r>
            <w:r w:rsidR="000176AF" w:rsidRPr="00872B31">
              <w:rPr>
                <w:rFonts w:ascii="Times New Roman" w:hAnsi="Times New Roman"/>
                <w:b/>
                <w:snapToGrid w:val="0"/>
                <w:lang w:val="bg-BG" w:eastAsia="bg-BG"/>
              </w:rPr>
              <w:t>(ЕФРР + нац. съфинансиране)</w:t>
            </w:r>
            <w:r w:rsidR="007304B2" w:rsidRPr="00872B31">
              <w:rPr>
                <w:rStyle w:val="FootnoteReference"/>
                <w:rFonts w:ascii="Times New Roman" w:hAnsi="Times New Roman"/>
                <w:b/>
                <w:snapToGrid w:val="0"/>
                <w:lang w:val="bg-BG" w:eastAsia="bg-BG"/>
              </w:rPr>
              <w:footnoteReference w:id="7"/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3 401 886 евро 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(6 653 51</w:t>
            </w:r>
            <w:r w:rsidRPr="00872B31">
              <w:rPr>
                <w:rFonts w:ascii="Times New Roman" w:hAnsi="Times New Roman"/>
                <w:snapToGrid w:val="0"/>
                <w:lang w:eastAsia="bg-BG"/>
              </w:rPr>
              <w:t>0</w:t>
            </w: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 xml:space="preserve">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872B31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</w:p>
          <w:p w:rsidR="005E2B14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sz w:val="24"/>
                <w:szCs w:val="24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>25 213 976 евро (49 314 25</w:t>
            </w:r>
            <w:r w:rsidRPr="001D129C">
              <w:rPr>
                <w:rFonts w:ascii="Times New Roman" w:hAnsi="Times New Roman"/>
                <w:iCs/>
                <w:snapToGrid w:val="0"/>
                <w:lang w:val="bg-BG" w:eastAsia="bg-BG"/>
              </w:rPr>
              <w:t>2</w:t>
            </w: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 лева)</w:t>
            </w:r>
            <w:r w:rsidR="000176AF"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>,</w:t>
            </w:r>
            <w:r w:rsidR="000176AF" w:rsidRPr="00872B31">
              <w:rPr>
                <w:rFonts w:ascii="Times New Roman" w:hAnsi="Times New Roman"/>
                <w:iCs/>
                <w:snapToGrid w:val="0"/>
                <w:sz w:val="24"/>
                <w:szCs w:val="24"/>
                <w:lang w:val="bg-BG" w:eastAsia="bg-BG"/>
              </w:rPr>
              <w:t xml:space="preserve">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от които </w:t>
            </w:r>
          </w:p>
          <w:p w:rsidR="000176AF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16 200 000  евро </w:t>
            </w:r>
          </w:p>
          <w:p w:rsidR="00094134" w:rsidRPr="00872B31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(31 684 446 лева) за СЗР, СЦР и СИР 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740841" w:rsidRPr="00872B31" w:rsidRDefault="00740841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872B31">
              <w:rPr>
                <w:rFonts w:ascii="Times New Roman" w:hAnsi="Times New Roman"/>
                <w:snapToGrid w:val="0"/>
                <w:lang w:val="bg-BG" w:eastAsia="bg-BG"/>
              </w:rPr>
              <w:t>28 615 862 евро  (55 967 762 лева)</w:t>
            </w:r>
          </w:p>
          <w:p w:rsidR="00094134" w:rsidRPr="00872B31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</w:tr>
    </w:tbl>
    <w:p w:rsidR="00094134" w:rsidRPr="00872B31" w:rsidRDefault="00094134" w:rsidP="00094134">
      <w:pPr>
        <w:spacing w:line="276" w:lineRule="auto"/>
        <w:ind w:firstLine="851"/>
        <w:jc w:val="both"/>
        <w:rPr>
          <w:rFonts w:ascii="Times New Roman" w:hAnsi="Times New Roman"/>
          <w:lang w:val="bg-BG"/>
        </w:rPr>
      </w:pPr>
    </w:p>
    <w:p w:rsidR="007A68BD" w:rsidRPr="00872B31" w:rsidRDefault="007304B2" w:rsidP="00B35185">
      <w:pPr>
        <w:widowControl w:val="0"/>
        <w:spacing w:after="120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val="bg-BG"/>
        </w:rPr>
      </w:pPr>
      <w:r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Индикативният </w:t>
      </w:r>
      <w:r w:rsidR="008B531F">
        <w:rPr>
          <w:rFonts w:ascii="Times New Roman" w:hAnsi="Times New Roman"/>
          <w:bCs/>
          <w:i/>
          <w:iCs/>
          <w:sz w:val="24"/>
          <w:szCs w:val="24"/>
          <w:lang w:val="bg-BG"/>
        </w:rPr>
        <w:t>размер</w:t>
      </w:r>
      <w:r w:rsidR="001E0AC5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на допълващото финансиране по ПКИП в бюджета на една стратегия</w:t>
      </w:r>
      <w:r w:rsidR="009D5EB5" w:rsidRPr="00872B31">
        <w:rPr>
          <w:rFonts w:ascii="Times New Roman" w:hAnsi="Times New Roman"/>
          <w:lang w:val="bg-BG"/>
        </w:rPr>
        <w:t xml:space="preserve"> </w:t>
      </w:r>
      <w:r w:rsidR="009D5EB5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е разпределен на основа на информация за МИГ, които са заявили интерес в рамките на предварително проучване, направено от страна на </w:t>
      </w:r>
      <w:r w:rsidR="00A043E7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УО на СПРЗСР</w:t>
      </w:r>
      <w:r w:rsidR="009D5EB5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за идентифицирани потребности от допълващо финансиране по програмата</w:t>
      </w:r>
      <w:r w:rsidR="00A043E7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(</w:t>
      </w:r>
      <w:r w:rsidR="00650041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Таблица № 2</w:t>
      </w:r>
      <w:r w:rsidR="00A043E7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)</w:t>
      </w:r>
      <w:r w:rsidR="00650041" w:rsidRPr="00872B31">
        <w:rPr>
          <w:rFonts w:ascii="Times New Roman" w:hAnsi="Times New Roman"/>
          <w:bCs/>
          <w:i/>
          <w:iCs/>
          <w:sz w:val="24"/>
          <w:szCs w:val="24"/>
          <w:lang w:val="bg-BG"/>
        </w:rPr>
        <w:t>.</w:t>
      </w:r>
      <w:r w:rsidR="00FF6336" w:rsidRPr="001D129C">
        <w:rPr>
          <w:lang w:val="bg-BG"/>
        </w:rPr>
        <w:t xml:space="preserve"> </w:t>
      </w:r>
      <w:r w:rsidR="00FF6336" w:rsidRPr="00FF6336">
        <w:rPr>
          <w:rFonts w:ascii="Times New Roman" w:hAnsi="Times New Roman"/>
          <w:bCs/>
          <w:i/>
          <w:iCs/>
          <w:sz w:val="24"/>
          <w:szCs w:val="24"/>
          <w:lang w:val="bg-BG"/>
        </w:rPr>
        <w:t>С цел осигуряване на възможност на всички МИГ</w:t>
      </w:r>
      <w:r w:rsidR="001B1038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с идентифицирани нужди от допълващо финансиране по програмата</w:t>
      </w:r>
      <w:r w:rsidR="00FF6336" w:rsidRPr="00FF6336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</w:t>
      </w:r>
      <w:r w:rsidR="001B1038">
        <w:rPr>
          <w:rFonts w:ascii="Times New Roman" w:hAnsi="Times New Roman"/>
          <w:bCs/>
          <w:i/>
          <w:iCs/>
          <w:sz w:val="24"/>
          <w:szCs w:val="24"/>
          <w:lang w:val="bg-BG"/>
        </w:rPr>
        <w:t>да се възползват от подкрепата</w:t>
      </w:r>
      <w:r w:rsidR="00FF6336" w:rsidRPr="00FF6336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, УО на ПКИП е възприел подход за определяне на </w:t>
      </w:r>
      <w:r w:rsidR="007A68BD">
        <w:rPr>
          <w:rFonts w:ascii="Times New Roman" w:hAnsi="Times New Roman"/>
          <w:bCs/>
          <w:i/>
          <w:iCs/>
          <w:sz w:val="24"/>
          <w:szCs w:val="24"/>
          <w:lang w:val="bg-BG"/>
        </w:rPr>
        <w:t>максимални индикативни</w:t>
      </w:r>
      <w:r w:rsidR="00FF6336" w:rsidRPr="00FF6336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бюджети на всяка МИГ.</w:t>
      </w:r>
      <w:r w:rsidR="000175B7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В случай че броят на одобрените стратегии с допълващо финансиране по ПКИП е по-голям от този на заявилите се в рамките на предварителното проучване, УО си запазва правото да </w:t>
      </w:r>
      <w:r w:rsidR="00232FDA">
        <w:rPr>
          <w:rFonts w:ascii="Times New Roman" w:hAnsi="Times New Roman"/>
          <w:bCs/>
          <w:i/>
          <w:iCs/>
          <w:sz w:val="24"/>
          <w:szCs w:val="24"/>
          <w:lang w:val="bg-BG"/>
        </w:rPr>
        <w:t>извърши служебна корекция на</w:t>
      </w:r>
      <w:r w:rsidR="000175B7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размера на допълващото финансиране на ниво стратегия.</w:t>
      </w:r>
    </w:p>
    <w:p w:rsidR="00650041" w:rsidRPr="00872B31" w:rsidRDefault="008C09D1" w:rsidP="00650041">
      <w:pPr>
        <w:widowControl w:val="0"/>
        <w:spacing w:after="120"/>
        <w:ind w:firstLine="567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</w:pPr>
      <w:r w:rsidRPr="00872B31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 xml:space="preserve">Таблица </w:t>
      </w:r>
      <w:r w:rsidR="00650041" w:rsidRPr="00872B31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 xml:space="preserve">№ </w:t>
      </w:r>
      <w:r w:rsidRPr="00872B31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>2</w:t>
      </w:r>
    </w:p>
    <w:p w:rsidR="00650041" w:rsidRPr="00872B31" w:rsidRDefault="00650041" w:rsidP="00650041">
      <w:pPr>
        <w:widowControl w:val="0"/>
        <w:spacing w:after="120"/>
        <w:ind w:firstLine="567"/>
        <w:jc w:val="right"/>
        <w:rPr>
          <w:rFonts w:ascii="Times New Roman" w:hAnsi="Times New Roman"/>
          <w:bCs/>
          <w:i/>
          <w:iCs/>
          <w:sz w:val="24"/>
          <w:szCs w:val="24"/>
          <w:lang w:val="bg-BG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1843"/>
        <w:gridCol w:w="1950"/>
      </w:tblGrid>
      <w:tr w:rsidR="002A5F50" w:rsidRPr="00872B31" w:rsidTr="008B531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</w:tcPr>
          <w:p w:rsidR="002A5F50" w:rsidRPr="00872B31" w:rsidRDefault="002A5F50" w:rsidP="00891F3E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>Регион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>МИГ в Регион в преход</w:t>
            </w: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 xml:space="preserve">ЮЗР </w:t>
            </w: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>МИГ в по-слабо развити региони</w:t>
            </w:r>
          </w:p>
          <w:p w:rsidR="002A5F50" w:rsidRPr="00872B31" w:rsidRDefault="002A5F50" w:rsidP="00F620E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>СЗР, СЦР, СИР</w:t>
            </w:r>
          </w:p>
          <w:p w:rsidR="002A5F50" w:rsidRPr="00872B31" w:rsidRDefault="002A5F50" w:rsidP="00392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950" w:type="dxa"/>
            <w:shd w:val="clear" w:color="auto" w:fill="D9D9D9"/>
          </w:tcPr>
          <w:p w:rsidR="002A5F50" w:rsidRPr="00872B31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872B31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>МИГ в по-слабо развити региони</w:t>
            </w:r>
          </w:p>
          <w:p w:rsidR="002A5F50" w:rsidRPr="00872B31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72B31">
              <w:rPr>
                <w:rFonts w:ascii="Times New Roman" w:eastAsia="PMingLiU" w:hAnsi="Times New Roman"/>
                <w:b/>
                <w:lang w:val="bg-BG"/>
              </w:rPr>
              <w:t xml:space="preserve">ЮИР, ЮЦР </w:t>
            </w:r>
          </w:p>
          <w:p w:rsidR="002A5F50" w:rsidRPr="00872B31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</w:tr>
      <w:tr w:rsidR="002A5F50" w:rsidRPr="00872B31" w:rsidTr="008B531F">
        <w:tc>
          <w:tcPr>
            <w:tcW w:w="3686" w:type="dxa"/>
            <w:shd w:val="clear" w:color="auto" w:fill="D9D9D9"/>
          </w:tcPr>
          <w:p w:rsidR="002A5F50" w:rsidRDefault="008B531F" w:rsidP="00FF6336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B531F">
              <w:rPr>
                <w:rFonts w:ascii="Times New Roman" w:eastAsia="PMingLiU" w:hAnsi="Times New Roman"/>
                <w:b/>
                <w:lang w:val="bg-BG"/>
              </w:rPr>
              <w:t>Индикатив</w:t>
            </w:r>
            <w:r>
              <w:rPr>
                <w:rFonts w:ascii="Times New Roman" w:eastAsia="PMingLiU" w:hAnsi="Times New Roman"/>
                <w:b/>
                <w:lang w:val="bg-BG"/>
              </w:rPr>
              <w:t>ен</w:t>
            </w:r>
            <w:r w:rsidRPr="008B531F">
              <w:rPr>
                <w:rFonts w:ascii="Times New Roman" w:eastAsia="PMingLiU" w:hAnsi="Times New Roman"/>
                <w:b/>
                <w:lang w:val="bg-BG"/>
              </w:rPr>
              <w:t xml:space="preserve"> размер на допълващото финансиране по ПКИП в бюджета на една стратегия </w:t>
            </w:r>
          </w:p>
          <w:p w:rsidR="00FF6336" w:rsidRPr="00872B31" w:rsidRDefault="00FF6336" w:rsidP="00FF6336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A5F50" w:rsidRPr="008B531F" w:rsidRDefault="002A5F50" w:rsidP="008B531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8B531F">
              <w:rPr>
                <w:rFonts w:ascii="Times New Roman" w:eastAsia="PMingLiU" w:hAnsi="Times New Roman"/>
                <w:b/>
                <w:lang w:val="bg-BG"/>
              </w:rPr>
              <w:t>до 554 459 л</w:t>
            </w:r>
            <w:r w:rsidR="008B531F">
              <w:rPr>
                <w:rFonts w:ascii="Times New Roman" w:eastAsia="PMingLiU" w:hAnsi="Times New Roman"/>
                <w:b/>
                <w:lang w:val="bg-BG"/>
              </w:rPr>
              <w:t>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5F50" w:rsidRPr="008B531F" w:rsidRDefault="002A5F50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</w:p>
          <w:p w:rsidR="001D22B1" w:rsidRPr="001D22B1" w:rsidRDefault="001D22B1" w:rsidP="002A5F50">
            <w:pPr>
              <w:rPr>
                <w:rFonts w:ascii="Times New Roman" w:eastAsia="PMingLiU" w:hAnsi="Times New Roman"/>
                <w:b/>
              </w:rPr>
            </w:pPr>
            <w:r>
              <w:rPr>
                <w:rFonts w:ascii="Times New Roman" w:eastAsia="PMingLiU" w:hAnsi="Times New Roman"/>
                <w:b/>
                <w:lang w:val="bg-BG"/>
              </w:rPr>
              <w:t xml:space="preserve">до </w:t>
            </w:r>
            <w:r>
              <w:rPr>
                <w:rFonts w:ascii="Times New Roman" w:eastAsia="PMingLiU" w:hAnsi="Times New Roman"/>
                <w:b/>
              </w:rPr>
              <w:t xml:space="preserve">1 127 555 </w:t>
            </w:r>
            <w:r w:rsidRPr="008B531F">
              <w:rPr>
                <w:rFonts w:ascii="Times New Roman" w:eastAsia="PMingLiU" w:hAnsi="Times New Roman"/>
                <w:b/>
                <w:lang w:val="bg-BG"/>
              </w:rPr>
              <w:t>л</w:t>
            </w:r>
            <w:r>
              <w:rPr>
                <w:rFonts w:ascii="Times New Roman" w:eastAsia="PMingLiU" w:hAnsi="Times New Roman"/>
                <w:b/>
                <w:lang w:val="bg-BG"/>
              </w:rPr>
              <w:t>ева</w:t>
            </w:r>
          </w:p>
          <w:p w:rsidR="002A5F50" w:rsidRPr="008B531F" w:rsidRDefault="002A5F50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950" w:type="dxa"/>
            <w:vAlign w:val="center"/>
          </w:tcPr>
          <w:p w:rsidR="002A5F50" w:rsidRPr="008B531F" w:rsidRDefault="001D22B1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  <w:r w:rsidRPr="008B531F">
              <w:rPr>
                <w:rFonts w:ascii="Times New Roman" w:eastAsia="PMingLiU" w:hAnsi="Times New Roman"/>
                <w:b/>
                <w:lang w:val="bg-BG"/>
              </w:rPr>
              <w:t>до 554 459 л</w:t>
            </w:r>
            <w:r>
              <w:rPr>
                <w:rFonts w:ascii="Times New Roman" w:eastAsia="PMingLiU" w:hAnsi="Times New Roman"/>
                <w:b/>
                <w:lang w:val="bg-BG"/>
              </w:rPr>
              <w:t>ева</w:t>
            </w:r>
          </w:p>
        </w:tc>
      </w:tr>
    </w:tbl>
    <w:p w:rsidR="00AE7976" w:rsidRDefault="00AE7976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746341" w:rsidRDefault="001D22B1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1D22B1">
        <w:rPr>
          <w:rFonts w:ascii="Times New Roman" w:hAnsi="Times New Roman"/>
          <w:sz w:val="24"/>
          <w:szCs w:val="24"/>
          <w:lang w:val="bg-BG" w:eastAsia="bg-BG"/>
        </w:rPr>
        <w:t xml:space="preserve">Във връзка с ангажираността и усилията за намаляване на регионалните различия и </w:t>
      </w:r>
      <w:r w:rsidR="00B35185">
        <w:rPr>
          <w:rFonts w:ascii="Times New Roman" w:hAnsi="Times New Roman"/>
          <w:sz w:val="24"/>
          <w:szCs w:val="24"/>
          <w:lang w:val="bg-BG" w:eastAsia="bg-BG"/>
        </w:rPr>
        <w:t>с оглед</w:t>
      </w:r>
      <w:r w:rsidR="00B35185" w:rsidRPr="00B35185">
        <w:rPr>
          <w:rFonts w:ascii="Times New Roman" w:hAnsi="Times New Roman"/>
          <w:sz w:val="24"/>
          <w:szCs w:val="24"/>
          <w:lang w:val="bg-BG" w:eastAsia="bg-BG"/>
        </w:rPr>
        <w:t xml:space="preserve"> поетия на ниво Споразумение за партньорство ангажимент за насочване на 50% от общото европейско финансиране по ЕФРР, ЕСФ+ и КФ към трите региона в Северна България – Северозападен (СЗР), Северен Централен (СЦ</w:t>
      </w:r>
      <w:r w:rsidR="00B35185">
        <w:rPr>
          <w:rFonts w:ascii="Times New Roman" w:hAnsi="Times New Roman"/>
          <w:sz w:val="24"/>
          <w:szCs w:val="24"/>
          <w:lang w:val="bg-BG" w:eastAsia="bg-BG"/>
        </w:rPr>
        <w:t xml:space="preserve">Р) и Североизточен регион (СИР), </w:t>
      </w:r>
      <w:r w:rsidRPr="001D22B1">
        <w:rPr>
          <w:rFonts w:ascii="Times New Roman" w:hAnsi="Times New Roman"/>
          <w:sz w:val="24"/>
          <w:szCs w:val="24"/>
          <w:lang w:val="bg-BG" w:eastAsia="bg-BG"/>
        </w:rPr>
        <w:t>е определен</w:t>
      </w:r>
      <w:r w:rsidR="00220E95">
        <w:rPr>
          <w:rFonts w:ascii="Times New Roman" w:hAnsi="Times New Roman"/>
          <w:sz w:val="24"/>
          <w:szCs w:val="24"/>
          <w:lang w:val="bg-BG" w:eastAsia="bg-BG"/>
        </w:rPr>
        <w:t xml:space="preserve"> по-висок размер на допълващото финансиране на ниво стратегия в</w:t>
      </w:r>
      <w:r w:rsidRPr="001D22B1">
        <w:rPr>
          <w:rFonts w:ascii="Times New Roman" w:hAnsi="Times New Roman"/>
          <w:sz w:val="24"/>
          <w:szCs w:val="24"/>
          <w:lang w:val="bg-BG" w:eastAsia="bg-BG"/>
        </w:rPr>
        <w:t xml:space="preserve"> СЗР, СЦР и СИР</w:t>
      </w:r>
      <w:r w:rsidR="00FF6336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220E95">
        <w:rPr>
          <w:rFonts w:ascii="Times New Roman" w:hAnsi="Times New Roman"/>
          <w:sz w:val="24"/>
          <w:szCs w:val="24"/>
          <w:lang w:val="bg-BG" w:eastAsia="bg-BG"/>
        </w:rPr>
        <w:t>спрямо останалите региони</w:t>
      </w:r>
      <w:r w:rsidRPr="00220E95">
        <w:rPr>
          <w:rFonts w:ascii="Times New Roman" w:hAnsi="Times New Roman"/>
          <w:sz w:val="24"/>
          <w:szCs w:val="24"/>
          <w:lang w:val="bg-BG" w:eastAsia="bg-BG"/>
        </w:rPr>
        <w:t>.</w:t>
      </w:r>
      <w:r w:rsidRPr="001D22B1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1D22B1" w:rsidRDefault="001D22B1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1D22B1">
        <w:rPr>
          <w:rFonts w:ascii="Times New Roman" w:hAnsi="Times New Roman"/>
          <w:sz w:val="24"/>
          <w:szCs w:val="24"/>
          <w:lang w:val="bg-BG" w:eastAsia="bg-BG"/>
        </w:rPr>
        <w:t>В случай</w:t>
      </w:r>
      <w:r w:rsidR="00086A1F">
        <w:rPr>
          <w:rFonts w:ascii="Times New Roman" w:hAnsi="Times New Roman"/>
          <w:sz w:val="24"/>
          <w:szCs w:val="24"/>
          <w:lang w:val="bg-BG" w:eastAsia="bg-BG"/>
        </w:rPr>
        <w:t xml:space="preserve"> на остатъчен ресурс след процеса по </w:t>
      </w:r>
      <w:r w:rsidRPr="001D22B1">
        <w:rPr>
          <w:rFonts w:ascii="Times New Roman" w:hAnsi="Times New Roman"/>
          <w:sz w:val="24"/>
          <w:szCs w:val="24"/>
          <w:lang w:val="bg-BG" w:eastAsia="bg-BG"/>
        </w:rPr>
        <w:t>одобрени</w:t>
      </w:r>
      <w:r w:rsidR="00086A1F">
        <w:rPr>
          <w:rFonts w:ascii="Times New Roman" w:hAnsi="Times New Roman"/>
          <w:sz w:val="24"/>
          <w:szCs w:val="24"/>
          <w:lang w:val="bg-BG" w:eastAsia="bg-BG"/>
        </w:rPr>
        <w:t>е на</w:t>
      </w:r>
      <w:r w:rsidRPr="001D22B1">
        <w:rPr>
          <w:rFonts w:ascii="Times New Roman" w:hAnsi="Times New Roman"/>
          <w:sz w:val="24"/>
          <w:szCs w:val="24"/>
          <w:lang w:val="bg-BG" w:eastAsia="bg-BG"/>
        </w:rPr>
        <w:t xml:space="preserve"> стратегии за местно развитие </w:t>
      </w:r>
      <w:r w:rsidR="00086A1F">
        <w:rPr>
          <w:rFonts w:ascii="Times New Roman" w:hAnsi="Times New Roman"/>
          <w:sz w:val="24"/>
          <w:szCs w:val="24"/>
          <w:lang w:val="bg-BG" w:eastAsia="bg-BG"/>
        </w:rPr>
        <w:t>УО си запазва правото да включи този ресурс в рамките на процедурата за подбор на проекти.</w:t>
      </w:r>
    </w:p>
    <w:p w:rsidR="008B531F" w:rsidRDefault="00FF6336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F6336">
        <w:rPr>
          <w:rFonts w:ascii="Times New Roman" w:hAnsi="Times New Roman"/>
          <w:i/>
          <w:sz w:val="24"/>
          <w:szCs w:val="24"/>
          <w:lang w:val="bg-BG" w:eastAsia="bg-BG"/>
        </w:rPr>
        <w:lastRenderedPageBreak/>
        <w:t>Важно!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В случай, че </w:t>
      </w:r>
      <w:r w:rsidR="00D97F10">
        <w:rPr>
          <w:rFonts w:ascii="Times New Roman" w:hAnsi="Times New Roman"/>
          <w:sz w:val="24"/>
          <w:szCs w:val="24"/>
          <w:lang w:val="bg-BG" w:eastAsia="bg-BG"/>
        </w:rPr>
        <w:t>при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>обявяване на процедурата за подбор</w:t>
      </w:r>
      <w:r w:rsidR="00D97F10">
        <w:rPr>
          <w:rFonts w:ascii="Times New Roman" w:hAnsi="Times New Roman"/>
          <w:sz w:val="24"/>
          <w:szCs w:val="24"/>
          <w:lang w:val="bg-BG" w:eastAsia="bg-BG"/>
        </w:rPr>
        <w:t xml:space="preserve"> на проекти на териториите на МИГ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 xml:space="preserve">, след 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 xml:space="preserve">втори краен срок 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не са договорени </w:t>
      </w:r>
      <w:r w:rsidR="00086A1F">
        <w:rPr>
          <w:rFonts w:ascii="Times New Roman" w:hAnsi="Times New Roman"/>
          <w:sz w:val="24"/>
          <w:szCs w:val="24"/>
          <w:lang w:val="bg-BG" w:eastAsia="bg-BG"/>
        </w:rPr>
        <w:t>одобрените бюджети на ниво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 МИГ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 УО на ПКИП си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 xml:space="preserve"> запазва правото да преразпредели 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>остатъчни</w:t>
      </w:r>
      <w:r w:rsidR="00EA2DA1">
        <w:rPr>
          <w:rFonts w:ascii="Times New Roman" w:hAnsi="Times New Roman"/>
          <w:sz w:val="24"/>
          <w:szCs w:val="24"/>
          <w:lang w:val="bg-BG" w:eastAsia="bg-BG"/>
        </w:rPr>
        <w:t>те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>ресурс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>и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 xml:space="preserve"> към проекти, които са преминали успешно фазата на оценка, но за които не е достигнало финансиране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 при спазване на </w:t>
      </w:r>
      <w:r w:rsidR="00EA2DA1">
        <w:rPr>
          <w:rFonts w:ascii="Times New Roman" w:hAnsi="Times New Roman"/>
          <w:sz w:val="24"/>
          <w:szCs w:val="24"/>
          <w:lang w:val="bg-BG" w:eastAsia="bg-BG"/>
        </w:rPr>
        <w:t>размера на средствата</w:t>
      </w:r>
      <w:r w:rsidR="001B1038">
        <w:rPr>
          <w:rFonts w:ascii="Times New Roman" w:hAnsi="Times New Roman"/>
          <w:sz w:val="24"/>
          <w:szCs w:val="24"/>
          <w:lang w:val="bg-BG" w:eastAsia="bg-BG"/>
        </w:rPr>
        <w:t xml:space="preserve"> на ниво програма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>, определен за</w:t>
      </w:r>
      <w:r w:rsidR="00C32D92" w:rsidRPr="001D129C">
        <w:rPr>
          <w:lang w:val="bg-BG"/>
        </w:rPr>
        <w:t xml:space="preserve"> </w:t>
      </w:r>
      <w:r>
        <w:rPr>
          <w:lang w:val="bg-BG"/>
        </w:rPr>
        <w:t>р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>егион в преход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 xml:space="preserve"> и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за 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>по-слабо развити региони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с цел максимални ползи за бизнеса на териториите на МИГ</w:t>
      </w:r>
      <w:r w:rsidR="00C32D92" w:rsidRPr="00C32D92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7A68BD" w:rsidRDefault="007A68BD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82114" w:rsidRPr="00872B31" w:rsidRDefault="000D458B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МИГ следва да </w:t>
      </w:r>
      <w:r w:rsidR="00212249">
        <w:rPr>
          <w:rFonts w:ascii="Times New Roman" w:hAnsi="Times New Roman"/>
          <w:sz w:val="24"/>
          <w:szCs w:val="24"/>
          <w:lang w:val="bg-BG" w:eastAsia="bg-BG"/>
        </w:rPr>
        <w:t>посочи</w:t>
      </w:r>
      <w:r w:rsidRPr="00872B31">
        <w:rPr>
          <w:rFonts w:ascii="Times New Roman" w:hAnsi="Times New Roman"/>
          <w:lang w:val="bg-BG"/>
        </w:rPr>
        <w:t xml:space="preserve"> 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>размер</w:t>
      </w:r>
      <w:r w:rsidR="00C32D92">
        <w:rPr>
          <w:rFonts w:ascii="Times New Roman" w:hAnsi="Times New Roman"/>
          <w:i/>
          <w:sz w:val="24"/>
          <w:szCs w:val="24"/>
          <w:lang w:val="bg-BG" w:eastAsia="bg-BG"/>
        </w:rPr>
        <w:t>а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на </w:t>
      </w:r>
      <w:r w:rsidR="008A29CD" w:rsidRPr="00872B31">
        <w:rPr>
          <w:rFonts w:ascii="Times New Roman" w:hAnsi="Times New Roman"/>
          <w:i/>
          <w:sz w:val="24"/>
          <w:szCs w:val="24"/>
          <w:lang w:val="bg-BG" w:eastAsia="bg-BG"/>
        </w:rPr>
        <w:t>допълващото финансиране</w:t>
      </w:r>
      <w:r w:rsidR="008A29CD" w:rsidRPr="00872B31">
        <w:rPr>
          <w:rFonts w:ascii="Times New Roman" w:hAnsi="Times New Roman"/>
          <w:sz w:val="24"/>
          <w:szCs w:val="24"/>
          <w:lang w:val="bg-BG" w:eastAsia="bg-BG"/>
        </w:rPr>
        <w:t xml:space="preserve"> по ПКИП</w:t>
      </w: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 в бюджета на стратегия</w:t>
      </w:r>
      <w:r w:rsidR="000319D1" w:rsidRPr="00872B31">
        <w:rPr>
          <w:rFonts w:ascii="Times New Roman" w:hAnsi="Times New Roman"/>
          <w:sz w:val="24"/>
          <w:szCs w:val="24"/>
          <w:lang w:val="bg-BG" w:eastAsia="bg-BG"/>
        </w:rPr>
        <w:t xml:space="preserve">та за местно развитие </w:t>
      </w:r>
      <w:r w:rsidRPr="00872B31">
        <w:rPr>
          <w:rFonts w:ascii="Times New Roman" w:hAnsi="Times New Roman"/>
          <w:sz w:val="24"/>
          <w:szCs w:val="24"/>
          <w:lang w:val="bg-BG" w:eastAsia="bg-BG"/>
        </w:rPr>
        <w:t>на основа на анализа и идентифицираните нужди/потребности на МСП на територията</w:t>
      </w:r>
      <w:r w:rsidR="00382114" w:rsidRPr="00872B31">
        <w:rPr>
          <w:rFonts w:ascii="Times New Roman" w:hAnsi="Times New Roman"/>
          <w:sz w:val="24"/>
          <w:szCs w:val="24"/>
          <w:lang w:val="bg-BG" w:eastAsia="bg-BG"/>
        </w:rPr>
        <w:t xml:space="preserve"> за внедряване на иновации и повишаване на иновационната им активност</w:t>
      </w:r>
      <w:r w:rsidR="00DC1293" w:rsidRPr="00872B31">
        <w:rPr>
          <w:rFonts w:ascii="Times New Roman" w:hAnsi="Times New Roman"/>
          <w:sz w:val="24"/>
          <w:szCs w:val="24"/>
          <w:lang w:val="bg-BG" w:eastAsia="bg-BG"/>
        </w:rPr>
        <w:t xml:space="preserve"> при </w:t>
      </w:r>
      <w:r w:rsidR="00A043E7" w:rsidRPr="00872B31">
        <w:rPr>
          <w:rFonts w:ascii="Times New Roman" w:hAnsi="Times New Roman"/>
          <w:sz w:val="24"/>
          <w:szCs w:val="24"/>
          <w:lang w:val="bg-BG" w:eastAsia="bg-BG"/>
        </w:rPr>
        <w:t xml:space="preserve">спазване на </w:t>
      </w:r>
      <w:r w:rsidR="00C32D92">
        <w:rPr>
          <w:rFonts w:ascii="Times New Roman" w:hAnsi="Times New Roman"/>
          <w:sz w:val="24"/>
          <w:szCs w:val="24"/>
          <w:lang w:val="bg-BG" w:eastAsia="bg-BG"/>
        </w:rPr>
        <w:t>максималния размер</w:t>
      </w:r>
      <w:r w:rsidR="00A043E7" w:rsidRPr="00872B31">
        <w:rPr>
          <w:rFonts w:ascii="Times New Roman" w:hAnsi="Times New Roman"/>
          <w:sz w:val="24"/>
          <w:szCs w:val="24"/>
          <w:lang w:val="bg-BG" w:eastAsia="bg-BG"/>
        </w:rPr>
        <w:t>, посочен в Таблица</w:t>
      </w:r>
      <w:r w:rsidR="00382114" w:rsidRPr="00872B31">
        <w:rPr>
          <w:rFonts w:ascii="Times New Roman" w:hAnsi="Times New Roman"/>
          <w:sz w:val="24"/>
          <w:szCs w:val="24"/>
          <w:lang w:val="bg-BG" w:eastAsia="bg-BG"/>
        </w:rPr>
        <w:t xml:space="preserve"> №</w:t>
      </w:r>
      <w:r w:rsidR="00A043E7" w:rsidRPr="00872B31">
        <w:rPr>
          <w:rFonts w:ascii="Times New Roman" w:hAnsi="Times New Roman"/>
          <w:sz w:val="24"/>
          <w:szCs w:val="24"/>
          <w:lang w:val="bg-BG" w:eastAsia="bg-BG"/>
        </w:rPr>
        <w:t xml:space="preserve"> 2</w:t>
      </w:r>
      <w:r w:rsidR="00382114" w:rsidRPr="00872B31">
        <w:rPr>
          <w:rFonts w:ascii="Times New Roman" w:hAnsi="Times New Roman"/>
          <w:sz w:val="24"/>
          <w:szCs w:val="24"/>
          <w:lang w:val="bg-BG" w:eastAsia="bg-BG"/>
        </w:rPr>
        <w:t xml:space="preserve">, както и </w:t>
      </w:r>
      <w:r w:rsidR="00F136C6" w:rsidRPr="00872B31">
        <w:rPr>
          <w:rFonts w:ascii="Times New Roman" w:hAnsi="Times New Roman"/>
          <w:sz w:val="24"/>
          <w:szCs w:val="24"/>
          <w:lang w:val="bg-BG" w:eastAsia="bg-BG"/>
        </w:rPr>
        <w:t xml:space="preserve">да посочи </w:t>
      </w:r>
      <w:r w:rsidR="00382114" w:rsidRPr="00872B31">
        <w:rPr>
          <w:rFonts w:ascii="Times New Roman" w:hAnsi="Times New Roman"/>
          <w:sz w:val="24"/>
          <w:szCs w:val="24"/>
          <w:lang w:val="bg-BG" w:eastAsia="bg-BG"/>
        </w:rPr>
        <w:t>сумите по приоритети</w:t>
      </w: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  <w:r w:rsidR="00575CCE" w:rsidRPr="00872B31">
        <w:rPr>
          <w:rFonts w:ascii="Times New Roman" w:hAnsi="Times New Roman"/>
          <w:i/>
          <w:sz w:val="24"/>
          <w:szCs w:val="24"/>
          <w:lang w:val="bg-BG" w:eastAsia="bg-BG"/>
        </w:rPr>
        <w:t>При структуриране на бюджета препоръчваме на МИГ да предвиди пропорционално/поравно финансиране и от двата приоритета, с цел да се осигури по-голяма гъвкавост по отношение на подкрепата за МСП и възможности за реализиране на иновации от всички области на ИСИС 2021-2027.</w:t>
      </w:r>
    </w:p>
    <w:p w:rsidR="00F178E2" w:rsidRPr="00872B31" w:rsidRDefault="00F178E2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78E2" w:rsidRPr="00872B31" w:rsidRDefault="00F178E2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>ВАЖНО! За да може</w:t>
      </w:r>
      <w:r w:rsidR="007A68BD">
        <w:rPr>
          <w:rFonts w:ascii="Times New Roman" w:hAnsi="Times New Roman"/>
          <w:i/>
          <w:sz w:val="24"/>
          <w:szCs w:val="24"/>
          <w:lang w:val="bg-BG" w:eastAsia="bg-BG"/>
        </w:rPr>
        <w:t xml:space="preserve"> да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бъде заявен </w:t>
      </w:r>
      <w:r w:rsidR="00CD1943">
        <w:rPr>
          <w:rFonts w:ascii="Times New Roman" w:hAnsi="Times New Roman"/>
          <w:i/>
          <w:sz w:val="24"/>
          <w:szCs w:val="24"/>
          <w:lang w:val="bg-BG" w:eastAsia="bg-BG"/>
        </w:rPr>
        <w:t>целия</w:t>
      </w:r>
      <w:r w:rsidR="00276F5A">
        <w:rPr>
          <w:rFonts w:ascii="Times New Roman" w:hAnsi="Times New Roman"/>
          <w:i/>
          <w:sz w:val="24"/>
          <w:szCs w:val="24"/>
          <w:lang w:val="bg-BG" w:eastAsia="bg-BG"/>
        </w:rPr>
        <w:t>т</w:t>
      </w:r>
      <w:r w:rsidR="00CD1943">
        <w:rPr>
          <w:rFonts w:ascii="Times New Roman" w:hAnsi="Times New Roman"/>
          <w:i/>
          <w:sz w:val="24"/>
          <w:szCs w:val="24"/>
          <w:lang w:val="bg-BG" w:eastAsia="bg-BG"/>
        </w:rPr>
        <w:t xml:space="preserve"> 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>размер на допълващото финансиране на ниво стратегия в нея следва да е предвидена възможност за кандидатстване и по двата приоритета на ПКИП. В случай че в рамките на дадена стратегия е идентифицирана нужда от реализиране на проекти за внедряване на иновации единствено в тематичните области на ИСИС “Информатика и ИКТ”; “Мехатроника и микроелектроника”;“Индустрии за здравословен живот, биоикономика и биотехнологии”; “Нови технологии в креативни и рекреативни индустрии”, попадащи в обхвата на Приоритет 1 „Иновации и растеж“ на ПКИП или единствено на проекти за внедряване на иновации в тематична област на ИСИС “Чисти технологии, кръгова и нисковъглеродна икономика” от Приоритет 2 „Кръгова икономика“ на програмата, то размерът на допълващо</w:t>
      </w:r>
      <w:r w:rsidR="00CD1943">
        <w:rPr>
          <w:rFonts w:ascii="Times New Roman" w:hAnsi="Times New Roman"/>
          <w:i/>
          <w:sz w:val="24"/>
          <w:szCs w:val="24"/>
          <w:lang w:val="bg-BG" w:eastAsia="bg-BG"/>
        </w:rPr>
        <w:t>то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финансиране не може да надхвърля 50 % от сумата, посочена в </w:t>
      </w:r>
      <w:r w:rsidR="007A68BD">
        <w:rPr>
          <w:rFonts w:ascii="Times New Roman" w:hAnsi="Times New Roman"/>
          <w:i/>
          <w:sz w:val="24"/>
          <w:szCs w:val="24"/>
          <w:lang w:val="bg-BG" w:eastAsia="bg-BG"/>
        </w:rPr>
        <w:t>Т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>аблица</w:t>
      </w:r>
      <w:r w:rsidR="007A68BD">
        <w:rPr>
          <w:rFonts w:ascii="Times New Roman" w:hAnsi="Times New Roman"/>
          <w:i/>
          <w:sz w:val="24"/>
          <w:szCs w:val="24"/>
          <w:lang w:val="bg-BG" w:eastAsia="bg-BG"/>
        </w:rPr>
        <w:t xml:space="preserve"> №</w:t>
      </w:r>
      <w:r w:rsidRPr="00872B31">
        <w:rPr>
          <w:rFonts w:ascii="Times New Roman" w:hAnsi="Times New Roman"/>
          <w:i/>
          <w:sz w:val="24"/>
          <w:szCs w:val="24"/>
          <w:lang w:val="bg-BG" w:eastAsia="bg-BG"/>
        </w:rPr>
        <w:t xml:space="preserve"> 2.</w:t>
      </w:r>
    </w:p>
    <w:p w:rsidR="00ED14D9" w:rsidRDefault="00ED14D9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i/>
          <w:sz w:val="24"/>
          <w:szCs w:val="24"/>
          <w:lang w:val="bg-BG" w:eastAsia="bg-BG"/>
        </w:rPr>
      </w:pPr>
    </w:p>
    <w:p w:rsidR="00A95E64" w:rsidRPr="00ED14D9" w:rsidRDefault="00ED14D9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</w:pPr>
      <w:r w:rsidRPr="00ED14D9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Финансови параметри на проектите</w:t>
      </w:r>
    </w:p>
    <w:p w:rsidR="00984DA2" w:rsidRPr="00ED14D9" w:rsidRDefault="00DC1293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Индикативният м</w:t>
      </w:r>
      <w:r w:rsidR="00D403B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аксимал</w:t>
      </w: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ен</w:t>
      </w:r>
      <w:r w:rsidR="00D403B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процент на съфинансиране</w:t>
      </w: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по линия на програмата</w:t>
      </w:r>
      <w:r w:rsidR="005A6E9F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на индивидуален проект</w:t>
      </w:r>
      <w:r w:rsidR="00D403B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65772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е </w:t>
      </w:r>
      <w:r w:rsidR="009D5EB5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до </w:t>
      </w:r>
      <w:r w:rsidR="00FA62F0" w:rsidRPr="00ED14D9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75</w:t>
      </w:r>
      <w:r w:rsidR="0065772B" w:rsidRPr="00ED14D9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%</w:t>
      </w:r>
      <w:r w:rsidR="0065772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. </w:t>
      </w:r>
    </w:p>
    <w:p w:rsidR="006D03FB" w:rsidRPr="00ED14D9" w:rsidRDefault="00DC1293" w:rsidP="006D03F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Индикативният м</w:t>
      </w:r>
      <w:r w:rsidR="006D03F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инимал</w:t>
      </w: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ен</w:t>
      </w:r>
      <w:r w:rsidR="006D03F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размер на БФП за проект е </w:t>
      </w: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определен на </w:t>
      </w:r>
      <w:r w:rsidR="006D03FB" w:rsidRPr="00ED14D9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30 000 лева</w:t>
      </w:r>
      <w:r w:rsidR="006D03F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,</w:t>
      </w:r>
      <w:r w:rsidR="00A64E0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а </w:t>
      </w:r>
      <w:r w:rsidR="00A64E0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максималният размер на БФП за проект</w:t>
      </w:r>
      <w:r w:rsidR="006D03F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A64E04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е </w:t>
      </w:r>
      <w:r w:rsidR="006D03FB" w:rsidRPr="00ED14D9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200 000 лева</w:t>
      </w:r>
      <w:r w:rsidR="006D03FB" w:rsidRPr="00ED14D9">
        <w:rPr>
          <w:rFonts w:ascii="Times New Roman" w:eastAsia="Calibri" w:hAnsi="Times New Roman"/>
          <w:bCs/>
          <w:sz w:val="24"/>
          <w:szCs w:val="24"/>
          <w:lang w:val="bg-BG" w:eastAsia="bg-BG"/>
        </w:rPr>
        <w:t>.</w:t>
      </w:r>
    </w:p>
    <w:p w:rsidR="002C6216" w:rsidRDefault="00ED0DA9" w:rsidP="00A442D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>М</w:t>
      </w:r>
      <w:r w:rsidR="00CE4AC4"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ярката </w:t>
      </w:r>
      <w:r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се изпълнява в съответствие с правилата за минимална помощ (правилото de minimis) </w:t>
      </w:r>
      <w:r w:rsidR="002C6216"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>с</w:t>
      </w:r>
      <w:r w:rsidR="003C6D0C">
        <w:rPr>
          <w:rFonts w:ascii="Times New Roman" w:eastAsia="Calibri" w:hAnsi="Times New Roman"/>
          <w:bCs/>
          <w:sz w:val="24"/>
          <w:szCs w:val="24"/>
          <w:lang w:val="bg-BG" w:eastAsia="bg-BG"/>
        </w:rPr>
        <w:t>ъгласно</w:t>
      </w:r>
      <w:r w:rsidR="002C6216"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A442DB"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>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de minimis</w:t>
      </w:r>
      <w:r w:rsidR="002C6216" w:rsidRPr="00872B31">
        <w:rPr>
          <w:rFonts w:ascii="Times New Roman" w:eastAsia="Calibri" w:hAnsi="Times New Roman"/>
          <w:bCs/>
          <w:sz w:val="24"/>
          <w:szCs w:val="24"/>
          <w:lang w:val="bg-BG" w:eastAsia="bg-BG"/>
        </w:rPr>
        <w:t>, с който се заменя Регламент (ЕС) № 1407/2013.</w:t>
      </w:r>
    </w:p>
    <w:p w:rsidR="00ED14D9" w:rsidRPr="00872B31" w:rsidRDefault="00ED14D9" w:rsidP="00A442D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</w:p>
    <w:p w:rsidR="00623BC7" w:rsidRPr="00872B31" w:rsidRDefault="00623BC7" w:rsidP="00623BC7">
      <w:pPr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/>
        </w:rPr>
        <w:lastRenderedPageBreak/>
        <w:t>5.</w:t>
      </w: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ab/>
      </w:r>
      <w:r w:rsidR="007648FD"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Индикативни п</w:t>
      </w:r>
      <w:r w:rsidRPr="00872B31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оказатели за резултат и Показатели за крайния продукт в изпълнение на мярката.</w:t>
      </w:r>
    </w:p>
    <w:p w:rsidR="00623BC7" w:rsidRPr="00623BC7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В съответствие с Приоритет 1. Иновации и растеж, Специфична цел: RSO1.1. „Развитие и засилване на капацитета за научни изследвания и иновации и на внедряването на модерни технологии </w:t>
      </w:r>
      <w:r w:rsidRPr="001D129C">
        <w:rPr>
          <w:rFonts w:ascii="Times New Roman" w:eastAsia="Calibri" w:hAnsi="Times New Roman"/>
          <w:bCs/>
          <w:sz w:val="24"/>
          <w:szCs w:val="24"/>
          <w:lang w:val="bg-BG"/>
        </w:rPr>
        <w:t>(ЕФРР)</w:t>
      </w:r>
      <w:r w:rsidRPr="00623BC7">
        <w:rPr>
          <w:rFonts w:ascii="Times New Roman" w:eastAsia="Calibri" w:hAnsi="Times New Roman"/>
          <w:sz w:val="24"/>
          <w:szCs w:val="24"/>
          <w:lang w:val="bg-BG"/>
        </w:rPr>
        <w:t>“ и</w:t>
      </w:r>
      <w:r w:rsidRPr="00623BC7">
        <w:rPr>
          <w:rFonts w:ascii="Times New Roman" w:eastAsia="Calibri" w:hAnsi="Times New Roman"/>
          <w:sz w:val="24"/>
          <w:szCs w:val="22"/>
          <w:lang w:val="bg-BG"/>
        </w:rPr>
        <w:t xml:space="preserve"> </w:t>
      </w: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Приоритет 2. Кръгова икономика, Специфична цел: RSO2.6. „Насърчаване на прехода към кръгова и основаваща се на ефективно използване на ресурсите икономика (ЕФРР)“ от </w:t>
      </w:r>
      <w:r w:rsidR="007648FD" w:rsidRPr="00872B31">
        <w:rPr>
          <w:rFonts w:ascii="Times New Roman" w:eastAsia="Calibri" w:hAnsi="Times New Roman"/>
          <w:sz w:val="24"/>
          <w:szCs w:val="24"/>
          <w:lang w:val="bg-BG"/>
        </w:rPr>
        <w:t xml:space="preserve">ПКИП мярката </w:t>
      </w: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следва да има принос към постигането на </w:t>
      </w:r>
      <w:r w:rsidRPr="00623BC7">
        <w:rPr>
          <w:rFonts w:ascii="Times New Roman" w:eastAsia="Calibri" w:hAnsi="Times New Roman"/>
          <w:b/>
          <w:sz w:val="24"/>
          <w:szCs w:val="24"/>
          <w:lang w:val="bg-BG"/>
        </w:rPr>
        <w:t>следните ПОКАЗАТЕЛИ ЗА РЕЗУЛТАТ</w:t>
      </w:r>
      <w:r w:rsidRPr="001D129C">
        <w:rPr>
          <w:rFonts w:ascii="Times New Roman" w:eastAsia="Calibri" w:hAnsi="Times New Roman"/>
          <w:sz w:val="24"/>
          <w:szCs w:val="24"/>
          <w:lang w:val="bg-BG"/>
        </w:rPr>
        <w:t>:</w:t>
      </w:r>
    </w:p>
    <w:p w:rsidR="00623BC7" w:rsidRPr="00623BC7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623BC7">
        <w:rPr>
          <w:rFonts w:ascii="Times New Roman" w:eastAsia="Calibri" w:hAnsi="Times New Roman"/>
          <w:sz w:val="24"/>
          <w:szCs w:val="24"/>
          <w:lang w:val="bg-BG"/>
        </w:rPr>
        <w:t>1) Частни инвестиции, допълващи публичното подпомагане (в т.ч.: безвъзмездни средства, финансови инструменти)</w:t>
      </w:r>
      <w:r w:rsidR="007648FD" w:rsidRPr="00872B31">
        <w:rPr>
          <w:rFonts w:ascii="Times New Roman" w:eastAsia="Calibri" w:hAnsi="Times New Roman"/>
          <w:sz w:val="24"/>
          <w:szCs w:val="24"/>
          <w:lang w:val="bg-BG"/>
        </w:rPr>
        <w:t>.</w:t>
      </w:r>
      <w:r w:rsidRPr="00623BC7">
        <w:rPr>
          <w:rFonts w:ascii="Times New Roman" w:eastAsia="Calibri" w:hAnsi="Times New Roman"/>
          <w:sz w:val="22"/>
          <w:szCs w:val="22"/>
          <w:lang w:val="bg-BG"/>
        </w:rPr>
        <w:t xml:space="preserve"> </w:t>
      </w:r>
    </w:p>
    <w:p w:rsidR="00623BC7" w:rsidRPr="00623BC7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623BC7">
        <w:rPr>
          <w:rFonts w:ascii="Times New Roman" w:eastAsia="Calibri" w:hAnsi="Times New Roman"/>
          <w:sz w:val="24"/>
          <w:szCs w:val="24"/>
          <w:lang w:val="bg-BG"/>
        </w:rPr>
        <w:t>2) Малки и средни предприятия (МСП), въвеждащи иновация в продукт</w:t>
      </w:r>
      <w:r w:rsidR="00501A93" w:rsidRPr="001D129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01A93">
        <w:rPr>
          <w:rFonts w:ascii="Times New Roman" w:eastAsia="Calibri" w:hAnsi="Times New Roman"/>
          <w:sz w:val="24"/>
          <w:szCs w:val="24"/>
          <w:lang w:val="bg-BG"/>
        </w:rPr>
        <w:t>или в процес</w:t>
      </w:r>
      <w:r w:rsidR="00CD1943">
        <w:rPr>
          <w:rFonts w:ascii="Times New Roman" w:eastAsia="Calibri" w:hAnsi="Times New Roman"/>
          <w:sz w:val="24"/>
          <w:szCs w:val="24"/>
          <w:lang w:val="bg-BG"/>
        </w:rPr>
        <w:t xml:space="preserve"> (ако е приложимо)</w:t>
      </w:r>
      <w:r w:rsidR="007648FD" w:rsidRPr="00872B31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623BC7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3</w:t>
      </w:r>
      <w:r w:rsidR="00623BC7" w:rsidRPr="00623BC7">
        <w:rPr>
          <w:rFonts w:ascii="Times New Roman" w:eastAsia="Calibri" w:hAnsi="Times New Roman"/>
          <w:sz w:val="24"/>
          <w:szCs w:val="24"/>
          <w:lang w:val="bg-BG"/>
        </w:rPr>
        <w:t>) МСП, въвели продуктова или процесова иновация в област “Чисти технологии, кръгова и нисковъглеродна икономика” на ИСИС</w:t>
      </w:r>
      <w:r w:rsidR="00CD1943">
        <w:rPr>
          <w:rFonts w:ascii="Times New Roman" w:eastAsia="Calibri" w:hAnsi="Times New Roman"/>
          <w:sz w:val="24"/>
          <w:szCs w:val="24"/>
          <w:lang w:val="bg-BG"/>
        </w:rPr>
        <w:t xml:space="preserve"> (ако е приложимо)</w:t>
      </w:r>
      <w:r w:rsidR="00623BC7" w:rsidRPr="00623BC7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623BC7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В съответствие с Приоритет 1. Иновации и растеж, Специфична цел: RSO1.1. „Развитие и засилване на капацитета за научни изследвания и иновации и на внедряването на модерни технологии </w:t>
      </w:r>
      <w:r w:rsidRPr="001D129C">
        <w:rPr>
          <w:rFonts w:ascii="Times New Roman" w:eastAsia="Calibri" w:hAnsi="Times New Roman"/>
          <w:bCs/>
          <w:sz w:val="24"/>
          <w:szCs w:val="24"/>
          <w:lang w:val="bg-BG"/>
        </w:rPr>
        <w:t>(ЕФРР)</w:t>
      </w: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“ и Приоритет 2. Кръгова икономика, Специфична цел: RSO2.6. „Насърчаване на прехода към кръгова и основаваща се на ефективно използване на ресурсите икономика </w:t>
      </w:r>
      <w:r w:rsidRPr="001D129C">
        <w:rPr>
          <w:rFonts w:ascii="Times New Roman" w:eastAsia="Calibri" w:hAnsi="Times New Roman"/>
          <w:bCs/>
          <w:sz w:val="24"/>
          <w:szCs w:val="24"/>
          <w:lang w:val="bg-BG"/>
        </w:rPr>
        <w:t>(ЕФРР)</w:t>
      </w:r>
      <w:r w:rsidRPr="00623BC7">
        <w:rPr>
          <w:rFonts w:ascii="Times New Roman" w:eastAsia="Calibri" w:hAnsi="Times New Roman"/>
          <w:bCs/>
          <w:sz w:val="24"/>
          <w:szCs w:val="24"/>
          <w:lang w:val="bg-BG"/>
        </w:rPr>
        <w:t>“ от ПКИП,</w:t>
      </w:r>
      <w:r w:rsidRPr="00623BC7">
        <w:rPr>
          <w:rFonts w:ascii="Times New Roman" w:eastAsia="Calibri" w:hAnsi="Times New Roman"/>
          <w:sz w:val="24"/>
          <w:szCs w:val="24"/>
          <w:lang w:val="bg-BG"/>
        </w:rPr>
        <w:t xml:space="preserve"> проектните предложения следва задължително да имат принос към постигането на </w:t>
      </w:r>
      <w:r w:rsidRPr="00623BC7">
        <w:rPr>
          <w:rFonts w:ascii="Times New Roman" w:eastAsia="Calibri" w:hAnsi="Times New Roman"/>
          <w:b/>
          <w:sz w:val="24"/>
          <w:szCs w:val="24"/>
          <w:lang w:val="bg-BG"/>
        </w:rPr>
        <w:t>следните ПОКАЗАТЕЛИ ЗА КРАЙНИЯ ПРОДУКТ:</w:t>
      </w:r>
    </w:p>
    <w:p w:rsidR="00623BC7" w:rsidRPr="00623BC7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4</w:t>
      </w:r>
      <w:r w:rsidR="00623BC7" w:rsidRPr="00623BC7">
        <w:rPr>
          <w:rFonts w:ascii="Times New Roman" w:eastAsia="Calibri" w:hAnsi="Times New Roman"/>
          <w:sz w:val="24"/>
          <w:szCs w:val="24"/>
          <w:lang w:val="bg-BG"/>
        </w:rPr>
        <w:t>) Подпомагани предприятия (в т.ч.: микро-, малки, средни, големи предприятия)</w:t>
      </w:r>
      <w:r w:rsidR="007648FD" w:rsidRPr="00872B31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623BC7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5</w:t>
      </w:r>
      <w:r w:rsidR="00623BC7" w:rsidRPr="00623BC7">
        <w:rPr>
          <w:rFonts w:ascii="Times New Roman" w:eastAsia="Calibri" w:hAnsi="Times New Roman"/>
          <w:sz w:val="24"/>
          <w:szCs w:val="24"/>
          <w:lang w:val="bg-BG"/>
        </w:rPr>
        <w:t>) Подпомагани предприятия чрез безвъзмездни средства.</w:t>
      </w:r>
    </w:p>
    <w:p w:rsidR="007648FD" w:rsidRPr="00872B31" w:rsidRDefault="007648FD" w:rsidP="00D135D3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623BC7" w:rsidRPr="007A68BD" w:rsidRDefault="007648FD" w:rsidP="00D135D3">
      <w:pPr>
        <w:spacing w:line="276" w:lineRule="auto"/>
        <w:jc w:val="both"/>
        <w:textAlignment w:val="auto"/>
        <w:rPr>
          <w:rFonts w:ascii="Times New Roman" w:hAnsi="Times New Roman"/>
          <w:i/>
          <w:sz w:val="24"/>
          <w:szCs w:val="24"/>
          <w:lang w:val="bg-BG"/>
        </w:rPr>
      </w:pPr>
      <w:r w:rsidRPr="007A68BD">
        <w:rPr>
          <w:rFonts w:ascii="Times New Roman" w:hAnsi="Times New Roman"/>
          <w:i/>
          <w:sz w:val="24"/>
          <w:szCs w:val="24"/>
          <w:lang w:val="bg-BG"/>
        </w:rPr>
        <w:t xml:space="preserve">УО си запазва правото да включи и други показатели за </w:t>
      </w:r>
      <w:r w:rsidR="006A3135">
        <w:rPr>
          <w:rFonts w:ascii="Times New Roman" w:hAnsi="Times New Roman"/>
          <w:i/>
          <w:sz w:val="24"/>
          <w:szCs w:val="24"/>
          <w:lang w:val="bg-BG"/>
        </w:rPr>
        <w:t xml:space="preserve">крайния продукт </w:t>
      </w:r>
      <w:r w:rsidR="00137E0B">
        <w:rPr>
          <w:rFonts w:ascii="Times New Roman" w:hAnsi="Times New Roman"/>
          <w:i/>
          <w:sz w:val="24"/>
          <w:szCs w:val="24"/>
          <w:lang w:val="bg-BG"/>
        </w:rPr>
        <w:t xml:space="preserve">и показатели за </w:t>
      </w:r>
      <w:r w:rsidRPr="007A68BD">
        <w:rPr>
          <w:rFonts w:ascii="Times New Roman" w:hAnsi="Times New Roman"/>
          <w:i/>
          <w:sz w:val="24"/>
          <w:szCs w:val="24"/>
          <w:lang w:val="bg-BG"/>
        </w:rPr>
        <w:t>резултат, които са пряко свързани с процеса по внедряване на иновации.</w:t>
      </w:r>
    </w:p>
    <w:p w:rsidR="001A5F78" w:rsidRPr="00872B31" w:rsidRDefault="001A5F78" w:rsidP="00D135D3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531F" w:rsidRDefault="008B531F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CB643A" w:rsidRDefault="00791825" w:rsidP="00120A39">
      <w:pPr>
        <w:spacing w:line="276" w:lineRule="auto"/>
        <w:jc w:val="right"/>
        <w:textAlignment w:val="auto"/>
        <w:rPr>
          <w:rFonts w:ascii="Times New Roman" w:hAnsi="Times New Roman"/>
          <w:b/>
          <w:i/>
          <w:sz w:val="24"/>
          <w:szCs w:val="24"/>
          <w:lang w:val="en-GB" w:eastAsia="bg-BG"/>
        </w:rPr>
      </w:pPr>
      <w:bookmarkStart w:id="0" w:name="_GoBack"/>
      <w:bookmarkEnd w:id="0"/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 xml:space="preserve">Приложение № </w:t>
      </w:r>
      <w:r w:rsidR="00CB643A">
        <w:rPr>
          <w:rFonts w:ascii="Times New Roman" w:hAnsi="Times New Roman"/>
          <w:b/>
          <w:sz w:val="24"/>
          <w:szCs w:val="24"/>
          <w:lang w:val="en-GB" w:eastAsia="bg-BG"/>
        </w:rPr>
        <w:t>1</w:t>
      </w:r>
    </w:p>
    <w:p w:rsidR="00120A39" w:rsidRDefault="005F4A8A" w:rsidP="005F4A8A">
      <w:pPr>
        <w:spacing w:line="276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DA61E2" w:rsidRPr="00872B31">
        <w:rPr>
          <w:rFonts w:ascii="Times New Roman" w:hAnsi="Times New Roman"/>
          <w:b/>
          <w:i/>
          <w:sz w:val="24"/>
          <w:szCs w:val="24"/>
          <w:lang w:val="bg-BG" w:eastAsia="bg-BG"/>
        </w:rPr>
        <w:t>Тематични области и п</w:t>
      </w:r>
      <w:r w:rsidR="00791825" w:rsidRPr="00872B31">
        <w:rPr>
          <w:rFonts w:ascii="Times New Roman" w:hAnsi="Times New Roman"/>
          <w:b/>
          <w:i/>
          <w:sz w:val="24"/>
          <w:szCs w:val="24"/>
          <w:lang w:val="bg-BG" w:eastAsia="bg-BG"/>
        </w:rPr>
        <w:t>одобласти на ИСИС 2021-2027</w:t>
      </w:r>
      <w:r w:rsidR="00120A39" w:rsidRPr="00872B31">
        <w:rPr>
          <w:rFonts w:ascii="Times New Roman" w:hAnsi="Times New Roman"/>
          <w:b/>
          <w:i/>
          <w:sz w:val="24"/>
          <w:szCs w:val="24"/>
          <w:lang w:val="bg-BG" w:eastAsia="bg-BG"/>
        </w:rPr>
        <w:t xml:space="preserve"> г.</w:t>
      </w:r>
      <w:r w:rsidR="00791825" w:rsidRPr="00872B31">
        <w:rPr>
          <w:rFonts w:ascii="Times New Roman" w:hAnsi="Times New Roman"/>
          <w:b/>
          <w:i/>
          <w:sz w:val="24"/>
          <w:szCs w:val="24"/>
          <w:lang w:val="bg-BG" w:eastAsia="bg-BG"/>
        </w:rPr>
        <w:t xml:space="preserve"> </w:t>
      </w:r>
    </w:p>
    <w:p w:rsidR="005F4A8A" w:rsidRPr="00872B31" w:rsidRDefault="005F4A8A" w:rsidP="005F4A8A">
      <w:pPr>
        <w:spacing w:line="276" w:lineRule="auto"/>
        <w:ind w:left="2160"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Default="005F4A8A" w:rsidP="00DA61E2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DA61E2" w:rsidRPr="00872B31" w:rsidRDefault="00120A39" w:rsidP="00DA61E2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I. 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>Тематичн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и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област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и: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„Информатика и ИКТ“;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>„Мехатроника и микроелектроника”;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>„Индустрия за здравословен живот, биоикономика и биотехнологии“;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>„Нови технологии в креативните и рекреативните индустрии“;</w:t>
      </w: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872B31">
        <w:rPr>
          <w:rFonts w:ascii="Times New Roman" w:hAnsi="Times New Roman"/>
          <w:b/>
          <w:sz w:val="24"/>
          <w:szCs w:val="24"/>
          <w:lang w:val="bg-BG" w:eastAsia="bg-BG"/>
        </w:rPr>
        <w:t>„Чисти технологии, кръгова и нисковъглеродна икономика“.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120A39" w:rsidRPr="00872B31" w:rsidRDefault="00120A39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II. Подобласти на тематичните 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1. В рамките на тематична област „Информатика и ИКТ“ се включват следните приоритетни подобласти: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ИКТ-базирани услуги и системи; ИКТ подходи в машиностроене, медицина и творчески индустрии и рекреативни индустрии, кръгова и биобазирана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- 3D дигитализация, визуализация и прототипиране;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Интернет на нещата (IoT);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Изкуствен интелект и повишаване на промишления и технологичен капацитет в усвояване на изкуствения интелект;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големи/свързани данни, геопространствени данни, анализ на данни, обработка на данни (Data processing, Small data science), инструментариум за работа с данни, споделяне, обмен, използване и повторно използване на данни, облачни изчисления (Big Data, Grid and Cloud Technologies), модели за предвиждане, основани на данни; симулация, моделиране и цифрови близнаци;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- комуникационни мрежи, включително безжични сензорни мрежи и безжична комуникация/управление; 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киберфизически системи и цифрови двойници; киберсигурност;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блокчейн технологии;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системи и услуги в сферата на финтех;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технологии за човеко-машинно взаимодействие (Interaction technologies);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интернет услуги; софтуер като услуга, innovation-as-a-service и everything-as-a-service (SaaS, IaaS и XaaS) и архитектура на услугата; уеб, хибридни и "native" приложения, уеб базирани приложения за създаване и експлоатиране на нови услуги и продукти;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 - производства, включително Fabless, особено на създадени в България продукти, устройства и системи.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2. В рамките на тематична област „Мехатроника и микроелектроника” се включват следните приоритетни подобласти: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Производство на базови елементи, детайли, възли и оборудване, вграждани като част от мехатронен агрегат или самостоятелно съставляващи такъв агрегат;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lastRenderedPageBreak/>
        <w:t>- Машиностроене и уредостроене, вкл. части, компоненти и системи, с акцент върху универсална, специализирана, специална/кибер/ и сервизна роботика;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Разработка и производство на електронни и електромеханични компоненти и модули;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Инженеринг, реинженеринг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 - 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Разработване, изследване и приложение на системи за технологична роботизация, с акцент на тежки процеси и агресивни среди (заваръчни процеси, леярски системи, обслужване и поддръжка на агресивни и опасни процеси и др.);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- Проектиране и производство на високотехнологични и експортно ориентирани мехатронни продукти с висока добавена стойност вкл. в аеро-космическата индустрия и участие в над-национални производствени вериги; Хибридно валидиране на мехатронни системи чрез виртуални и физически прототипи; Автомобилна и авио-мехатроника; 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Интелигентни системи и уреди, вкл. използващи изкуствен интелект; 3-D моделиране, проектиране и валидиране на компоненти и системи; 3-D принтиране за нуждите на индустрията;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Биомехатроника; Биоелектроника– моделиране и характеризиране на зарядов пренос и обработка на сигнали в биообекти като протеини, DNA и др. за разработване на градивни елементи и създаване на прототипи на интегрални устройства и сензори;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 xml:space="preserve">- Системи и технологии за развитие на Синята икономика; 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Системи и технологии, базирани на мобилност и местоположение;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Фотоника и технологии за изображения;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Моделиране (device modeling) на полупроводникови елементи и компоненти, както и схеми и системи, съдържащи конвенционални и неконвенционални субмикронни и наноразмерни устройства – компактни модели, физични модели, поведенчески модели, логически модели, системни модели; Схемно (circuit) проектиране (ECAD), топологично (layout) проектиране (ECAD), технологично проектиране (TCAD) и разработване на интегрални схеми и системи – цифрови, аналогови, смесеносигнални, RF; Проектиране, разработване, изследване, прототипиране и окачествяване на специализирани аналогови и цифроаналогови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Виртуални технологии за развитие на нови продукти и процеси, виртуално прототипиране и оптимизация;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lastRenderedPageBreak/>
        <w:t>- Проектиране, разработване, характеризиране и прототипиране на MEMS устройства и структури за сензори, RF, биомедицински, индустриални, земеделски, фармакология и др. приложения;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Асемблиране и корпусиране на полупроводникови чипове;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Анализ на отказите (failure analysis) в интегрални схеми, системи, устройства, модули; Разработване на софтуер за вградени системи (embedded systems), както и софтуерни решения за проектиране (EDA), вкл. с отворен код;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Синтез и характеризиране на нови материали с приложения в микро- и наноелектрониката;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Проектиране, разработване и производство на устройства, съоръжения и системи с приложение в полупроводниковите производства; Пилотни линии за експериментиране, разработване и тестване на иновативни процеси, съоръжения и технологии;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Моделиране, характеризиране, проектиране и разработване на процеси и технологии за преобразуване на събраната енергия (energy harvesting), както и проектиране, прототипиране и производство на такива устройства;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Разработване, усъвършенстване и адаптиране на подходи, технологии за ускоряване на разработването на квантови чипове.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3. В рамките на тематична област „Индустрия за здравословен живот, биоикономика и биотехнологии“   се включват следните приоритетни подобласти: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Персонална медицина, диагностика и индивидуална терапия, лечебни и лекарствени форми и средства;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Медицински и лечебен туризъм с акцент върху възможностите за персонализация (немасов, а персонален туризъм);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Биотехнологии с пряко приложение за здравословен начин на живот;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Приложение на нови методи и технологии в устойчивото ползване на речни и морски ресурси;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Синя и зелена биобазирана икономика;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Индустриални биотехнологии;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ИКТ с приложение в тематичната област;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 витро, тъканно инженерство и регенеративна медицина;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Фотоника и технологии за изображения, екрани и технологии за дисплей.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>4. В рамките на тематична област „Нови технологии в креативните и рекреативните индустрии“ се включват следните приоритетни подобласти: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Компютърни и мобилни приложения и игри с образователен, маркетинг и/или развлекателен характер;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алтернативни и екстремни спортове и туризъм, костюми, декори, материали за исторически възстановки, специализирана екипировка и оборудване, печатни издания).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b/>
          <w:sz w:val="24"/>
          <w:szCs w:val="24"/>
          <w:lang w:val="bg-BG" w:eastAsia="bg-BG"/>
        </w:rPr>
        <w:t>5. В рамките на тематична област „Чисти технологии, кръгова и нисковъглеродна икономика“ се включват следните приоритетни подобласти: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Създаване на съвременни информационни комплекси за автономни енергийни системи;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Разработване на иновативни устойчиви технологии за интегриране на водород в промишлени процеси, особено тези, които са по-трудни за декарбонизация, като стомана, цимент и стъкло;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еко-мобилността;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791825" w:rsidRPr="00872B31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72B31">
        <w:rPr>
          <w:rFonts w:ascii="Times New Roman" w:hAnsi="Times New Roman"/>
          <w:sz w:val="24"/>
          <w:szCs w:val="24"/>
          <w:lang w:val="bg-BG" w:eastAsia="bg-BG"/>
        </w:rPr>
        <w:t>- Безотпадни технологии и методи за включване на отпадъчни продукти и материали от производства в други производства и услуги.</w:t>
      </w:r>
    </w:p>
    <w:p w:rsidR="00791825" w:rsidRPr="00872B31" w:rsidRDefault="00791825" w:rsidP="00791825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</w:p>
    <w:p w:rsidR="00791825" w:rsidRPr="001D129C" w:rsidRDefault="00791825" w:rsidP="00791825">
      <w:pPr>
        <w:spacing w:line="276" w:lineRule="auto"/>
        <w:jc w:val="right"/>
        <w:textAlignment w:val="auto"/>
        <w:rPr>
          <w:rFonts w:ascii="Times New Roman" w:hAnsi="Times New Roman"/>
          <w:b/>
          <w:i/>
          <w:sz w:val="24"/>
          <w:szCs w:val="24"/>
          <w:lang w:val="bg-BG"/>
        </w:rPr>
      </w:pPr>
    </w:p>
    <w:sectPr w:rsidR="00791825" w:rsidRPr="001D129C" w:rsidSect="007A68BD">
      <w:footerReference w:type="default" r:id="rId10"/>
      <w:headerReference w:type="first" r:id="rId11"/>
      <w:footerReference w:type="first" r:id="rId12"/>
      <w:pgSz w:w="11907" w:h="16840" w:code="9"/>
      <w:pgMar w:top="1702" w:right="1134" w:bottom="1134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84" w:rsidRDefault="00005F84">
      <w:r>
        <w:separator/>
      </w:r>
    </w:p>
  </w:endnote>
  <w:endnote w:type="continuationSeparator" w:id="0">
    <w:p w:rsidR="00005F84" w:rsidRDefault="0000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4B" w:rsidRPr="00B84225" w:rsidRDefault="0008204B">
    <w:pPr>
      <w:pStyle w:val="Footer"/>
      <w:jc w:val="center"/>
      <w:rPr>
        <w:rFonts w:ascii="Times New Roman" w:hAnsi="Times New Roman"/>
      </w:rPr>
    </w:pPr>
    <w:r w:rsidRPr="0008204B">
      <w:rPr>
        <w:rFonts w:ascii="Times New Roman" w:hAnsi="Times New Roman"/>
      </w:rPr>
      <w:fldChar w:fldCharType="begin"/>
    </w:r>
    <w:r w:rsidRPr="0008204B">
      <w:rPr>
        <w:rFonts w:ascii="Times New Roman" w:hAnsi="Times New Roman"/>
      </w:rPr>
      <w:instrText xml:space="preserve"> PAGE   \* MERGEFORMAT </w:instrText>
    </w:r>
    <w:r w:rsidRPr="0008204B">
      <w:rPr>
        <w:rFonts w:ascii="Times New Roman" w:hAnsi="Times New Roman"/>
      </w:rPr>
      <w:fldChar w:fldCharType="separate"/>
    </w:r>
    <w:r w:rsidR="00AB70B2">
      <w:rPr>
        <w:rFonts w:ascii="Times New Roman" w:hAnsi="Times New Roman"/>
        <w:noProof/>
      </w:rPr>
      <w:t>13</w:t>
    </w:r>
    <w:r w:rsidRPr="0008204B">
      <w:rPr>
        <w:rFonts w:ascii="Times New Roman" w:hAnsi="Times New Roman"/>
        <w:noProof/>
      </w:rPr>
      <w:fldChar w:fldCharType="end"/>
    </w:r>
  </w:p>
  <w:p w:rsidR="0008204B" w:rsidRDefault="000820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2F" w:rsidRPr="004F765C" w:rsidRDefault="00C4262F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84" w:rsidRDefault="00005F84">
      <w:r>
        <w:separator/>
      </w:r>
    </w:p>
  </w:footnote>
  <w:footnote w:type="continuationSeparator" w:id="0">
    <w:p w:rsidR="00005F84" w:rsidRDefault="00005F84">
      <w:r>
        <w:continuationSeparator/>
      </w:r>
    </w:p>
  </w:footnote>
  <w:footnote w:id="1">
    <w:p w:rsidR="00862F7F" w:rsidRPr="00862F7F" w:rsidRDefault="00862F7F" w:rsidP="00862F7F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62F7F">
        <w:rPr>
          <w:rFonts w:ascii="Times New Roman" w:hAnsi="Times New Roman"/>
          <w:sz w:val="18"/>
          <w:szCs w:val="18"/>
          <w:lang w:val="bg-BG"/>
        </w:rPr>
        <w:t>Указанията могат да бъдат актуализирани и допълвани в случай на промени в европейското и националното законодателства, промени в програмата и по решение на Управляващия орган на Програмата.</w:t>
      </w:r>
    </w:p>
    <w:p w:rsidR="00862F7F" w:rsidRPr="00862F7F" w:rsidRDefault="00862F7F">
      <w:pPr>
        <w:pStyle w:val="FootnoteText"/>
        <w:rPr>
          <w:lang w:val="bg-BG"/>
        </w:rPr>
      </w:pPr>
    </w:p>
  </w:footnote>
  <w:footnote w:id="2">
    <w:p w:rsidR="00650041" w:rsidRPr="0076228A" w:rsidRDefault="00650041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 w:rsidRPr="0076228A">
        <w:rPr>
          <w:rFonts w:ascii="Times New Roman" w:hAnsi="Times New Roman"/>
          <w:sz w:val="18"/>
          <w:szCs w:val="18"/>
          <w:lang w:val="bg-BG"/>
        </w:rPr>
        <w:footnoteRef/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М</w:t>
      </w:r>
      <w:r w:rsidRPr="0076228A">
        <w:rPr>
          <w:rFonts w:ascii="Times New Roman" w:hAnsi="Times New Roman"/>
          <w:b/>
          <w:sz w:val="18"/>
          <w:szCs w:val="18"/>
          <w:lang w:val="bg-BG"/>
        </w:rPr>
        <w:t>икро, малки и средни предприятия</w:t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съгласно Закона за малките и средни</w:t>
      </w:r>
      <w:r w:rsidR="00DA61E2" w:rsidRPr="0076228A">
        <w:rPr>
          <w:rFonts w:ascii="Times New Roman" w:hAnsi="Times New Roman"/>
          <w:sz w:val="18"/>
          <w:szCs w:val="18"/>
          <w:lang w:val="bg-BG"/>
        </w:rPr>
        <w:t>те</w:t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предприятия.</w:t>
      </w:r>
    </w:p>
  </w:footnote>
  <w:footnote w:id="3">
    <w:p w:rsidR="00951467" w:rsidRPr="0076228A" w:rsidRDefault="00951467" w:rsidP="00D135D3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6228A">
        <w:rPr>
          <w:rStyle w:val="FootnoteReference"/>
          <w:rFonts w:ascii="Times New Roman" w:hAnsi="Times New Roman"/>
          <w:sz w:val="18"/>
          <w:szCs w:val="18"/>
          <w:lang w:val="bg-BG"/>
        </w:rPr>
        <w:footnoteRef/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</w:t>
      </w:r>
      <w:r w:rsidR="00E67D26" w:rsidRPr="0076228A">
        <w:rPr>
          <w:rFonts w:ascii="Times New Roman" w:hAnsi="Times New Roman"/>
          <w:sz w:val="18"/>
          <w:szCs w:val="18"/>
          <w:lang w:val="bg-BG"/>
        </w:rPr>
        <w:t>Необходима информация съгласно Приложение № 1 към настоящите Указания</w:t>
      </w:r>
      <w:r w:rsidRPr="0076228A">
        <w:rPr>
          <w:rFonts w:ascii="Times New Roman" w:hAnsi="Times New Roman"/>
          <w:bCs/>
          <w:iCs/>
          <w:sz w:val="18"/>
          <w:szCs w:val="18"/>
          <w:lang w:val="bg-BG"/>
        </w:rPr>
        <w:t>.</w:t>
      </w:r>
    </w:p>
  </w:footnote>
  <w:footnote w:id="4">
    <w:p w:rsidR="009574CC" w:rsidRPr="007F6305" w:rsidRDefault="009574CC" w:rsidP="009574CC">
      <w:pPr>
        <w:pStyle w:val="FootnoteText"/>
        <w:jc w:val="both"/>
        <w:rPr>
          <w:lang w:val="bg-BG"/>
        </w:rPr>
      </w:pPr>
      <w:r w:rsidRPr="007F6305">
        <w:rPr>
          <w:rFonts w:ascii="Times New Roman" w:hAnsi="Times New Roman"/>
          <w:sz w:val="18"/>
          <w:szCs w:val="18"/>
          <w:lang w:val="bg-BG"/>
        </w:rPr>
        <w:footnoteRef/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F6305">
        <w:rPr>
          <w:rFonts w:ascii="Times New Roman" w:hAnsi="Times New Roman"/>
          <w:b/>
          <w:sz w:val="18"/>
          <w:szCs w:val="18"/>
          <w:lang w:val="bg-BG"/>
        </w:rPr>
        <w:t>Продуктова иновация</w:t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е нова или подобрена стока или услуга, която значително се различава от предишните стоки или услуги на предприятието и е въведена на пазара.</w:t>
      </w:r>
    </w:p>
  </w:footnote>
  <w:footnote w:id="5">
    <w:p w:rsidR="009574CC" w:rsidRPr="007F6305" w:rsidRDefault="009574CC" w:rsidP="009574CC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F6305">
        <w:rPr>
          <w:rFonts w:ascii="Times New Roman" w:hAnsi="Times New Roman"/>
          <w:sz w:val="18"/>
          <w:szCs w:val="18"/>
          <w:lang w:val="bg-BG"/>
        </w:rPr>
        <w:footnoteRef/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F6305">
        <w:rPr>
          <w:rFonts w:ascii="Times New Roman" w:hAnsi="Times New Roman"/>
          <w:b/>
          <w:sz w:val="18"/>
          <w:szCs w:val="18"/>
          <w:lang w:val="bg-BG"/>
        </w:rPr>
        <w:t>Иновация в бизнес процесите</w:t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(процесова иновация) е нов или подобрен бизнес процес (или комбинация от двете) на една или повече от една функции, които значително се различават от предишните бизнес процеси на предприятието и са въведени в организацията на дейността на предприятието.</w:t>
      </w:r>
    </w:p>
  </w:footnote>
  <w:footnote w:id="6">
    <w:p w:rsidR="00094134" w:rsidRPr="004C709A" w:rsidRDefault="00094134" w:rsidP="00094134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4C709A">
        <w:rPr>
          <w:rStyle w:val="FootnoteReference"/>
          <w:rFonts w:ascii="Times New Roman" w:hAnsi="Times New Roman"/>
          <w:sz w:val="18"/>
          <w:szCs w:val="18"/>
          <w:lang w:val="bg-BG"/>
        </w:rPr>
        <w:footnoteRef/>
      </w:r>
      <w:r w:rsidRPr="004C709A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4C709A">
        <w:rPr>
          <w:rFonts w:ascii="Times New Roman" w:hAnsi="Times New Roman"/>
          <w:b/>
          <w:sz w:val="18"/>
          <w:szCs w:val="18"/>
          <w:lang w:val="bg-BG"/>
        </w:rPr>
        <w:t>По-слабо развити региони са:</w:t>
      </w:r>
      <w:r w:rsidRPr="004C709A">
        <w:rPr>
          <w:rFonts w:ascii="Times New Roman" w:hAnsi="Times New Roman"/>
          <w:sz w:val="18"/>
          <w:szCs w:val="18"/>
          <w:lang w:val="bg-BG"/>
        </w:rPr>
        <w:t xml:space="preserve"> Северозападен регион (СЗР), Северен централен регион (СЦР), Североизточен регион (СИР), Югоизточен регион (ЮИР) и Южен централен регион (ЮЦР).</w:t>
      </w:r>
    </w:p>
  </w:footnote>
  <w:footnote w:id="7">
    <w:p w:rsidR="007304B2" w:rsidRPr="007304B2" w:rsidRDefault="007304B2" w:rsidP="007304B2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304B2">
        <w:rPr>
          <w:rFonts w:ascii="Times New Roman" w:hAnsi="Times New Roman"/>
          <w:sz w:val="18"/>
          <w:szCs w:val="18"/>
          <w:lang w:val="bg-BG"/>
        </w:rPr>
        <w:footnoteRef/>
      </w:r>
      <w:r w:rsidRPr="007304B2">
        <w:rPr>
          <w:rFonts w:ascii="Times New Roman" w:hAnsi="Times New Roman"/>
          <w:sz w:val="18"/>
          <w:szCs w:val="18"/>
          <w:lang w:val="bg-BG"/>
        </w:rPr>
        <w:t xml:space="preserve"> Бюджетът в изпълнение на подхода ВОМР</w:t>
      </w:r>
      <w:r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304B2">
        <w:rPr>
          <w:rFonts w:ascii="Times New Roman" w:hAnsi="Times New Roman"/>
          <w:sz w:val="18"/>
          <w:szCs w:val="18"/>
          <w:lang w:val="bg-BG"/>
        </w:rPr>
        <w:t>не може да надвишава размер</w:t>
      </w:r>
      <w:r>
        <w:rPr>
          <w:rFonts w:ascii="Times New Roman" w:hAnsi="Times New Roman"/>
          <w:sz w:val="18"/>
          <w:szCs w:val="18"/>
          <w:lang w:val="bg-BG"/>
        </w:rPr>
        <w:t>а</w:t>
      </w:r>
      <w:r w:rsidRPr="007304B2">
        <w:rPr>
          <w:rFonts w:ascii="Times New Roman" w:hAnsi="Times New Roman"/>
          <w:sz w:val="18"/>
          <w:szCs w:val="18"/>
          <w:lang w:val="bg-BG"/>
        </w:rPr>
        <w:t>, определен за региони в преход или в по-слабо развити региони.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2F" w:rsidRPr="00E67361" w:rsidRDefault="00AB70B2" w:rsidP="00B10CF7">
    <w:pPr>
      <w:rPr>
        <w:rFonts w:ascii="Verdana" w:hAnsi="Verdana"/>
      </w:rPr>
    </w:pPr>
    <w:r>
      <w:rPr>
        <w:i/>
        <w:noProof/>
        <w:lang w:val="en-GB" w:eastAsia="en-GB"/>
      </w:rPr>
      <w:drawing>
        <wp:inline distT="0" distB="0" distL="0" distR="0">
          <wp:extent cx="2009775" cy="466090"/>
          <wp:effectExtent l="0" t="0" r="9525" b="0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277">
      <w:rPr>
        <w:noProof/>
        <w:lang w:val="bg-BG" w:eastAsia="bg-BG"/>
      </w:rPr>
      <w:t xml:space="preserve">                                           </w:t>
    </w:r>
    <w:r>
      <w:rPr>
        <w:noProof/>
        <w:lang w:val="en-GB" w:eastAsia="en-GB"/>
      </w:rPr>
      <w:drawing>
        <wp:inline distT="0" distB="0" distL="0" distR="0">
          <wp:extent cx="2191385" cy="526415"/>
          <wp:effectExtent l="0" t="0" r="0" b="6985"/>
          <wp:docPr id="3" name="Picture 3" descr="cid:image001.png@01D8FB39.06A872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1.png@01D8FB39.06A872C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277">
      <w:rPr>
        <w:noProof/>
        <w:lang w:val="bg-BG" w:eastAsia="bg-BG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627B"/>
    <w:multiLevelType w:val="hybridMultilevel"/>
    <w:tmpl w:val="8574529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584FB5"/>
    <w:multiLevelType w:val="hybridMultilevel"/>
    <w:tmpl w:val="4BC67482"/>
    <w:lvl w:ilvl="0" w:tplc="0D6E8F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5495"/>
    <w:multiLevelType w:val="hybridMultilevel"/>
    <w:tmpl w:val="313C365C"/>
    <w:lvl w:ilvl="0" w:tplc="FF309A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B33385"/>
    <w:multiLevelType w:val="hybridMultilevel"/>
    <w:tmpl w:val="69E04984"/>
    <w:lvl w:ilvl="0" w:tplc="9FD09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03F87"/>
    <w:multiLevelType w:val="hybridMultilevel"/>
    <w:tmpl w:val="25AC8E38"/>
    <w:lvl w:ilvl="0" w:tplc="843C8E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0C51D0"/>
    <w:multiLevelType w:val="hybridMultilevel"/>
    <w:tmpl w:val="82E4D5CC"/>
    <w:lvl w:ilvl="0" w:tplc="AAB0C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3064F"/>
    <w:multiLevelType w:val="hybridMultilevel"/>
    <w:tmpl w:val="9DF42D9A"/>
    <w:lvl w:ilvl="0" w:tplc="CAD4B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9C241D"/>
    <w:multiLevelType w:val="hybridMultilevel"/>
    <w:tmpl w:val="69E04984"/>
    <w:lvl w:ilvl="0" w:tplc="9FD09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9A5"/>
    <w:multiLevelType w:val="hybridMultilevel"/>
    <w:tmpl w:val="11EA7FB4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4020641A"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55C06C65"/>
    <w:multiLevelType w:val="hybridMultilevel"/>
    <w:tmpl w:val="5D481E06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5EE4313"/>
    <w:multiLevelType w:val="hybridMultilevel"/>
    <w:tmpl w:val="53A44DBE"/>
    <w:lvl w:ilvl="0" w:tplc="6578359E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C5C01"/>
    <w:multiLevelType w:val="hybridMultilevel"/>
    <w:tmpl w:val="092C3E2A"/>
    <w:lvl w:ilvl="0" w:tplc="3E6C4A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36CBA"/>
    <w:multiLevelType w:val="hybridMultilevel"/>
    <w:tmpl w:val="772EA51A"/>
    <w:lvl w:ilvl="0" w:tplc="0402000F">
      <w:start w:val="1"/>
      <w:numFmt w:val="decimal"/>
      <w:lvlText w:val="%1."/>
      <w:lvlJc w:val="left"/>
      <w:pPr>
        <w:ind w:left="1080" w:hanging="72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558F4"/>
    <w:multiLevelType w:val="hybridMultilevel"/>
    <w:tmpl w:val="8F22725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0"/>
  </w:num>
  <w:num w:numId="5">
    <w:abstractNumId w:val="13"/>
  </w:num>
  <w:num w:numId="6">
    <w:abstractNumId w:val="0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07B6"/>
    <w:rsid w:val="00000935"/>
    <w:rsid w:val="000014A7"/>
    <w:rsid w:val="00004C9E"/>
    <w:rsid w:val="00005F84"/>
    <w:rsid w:val="00011C3D"/>
    <w:rsid w:val="00013E86"/>
    <w:rsid w:val="00016961"/>
    <w:rsid w:val="000175B7"/>
    <w:rsid w:val="000176AF"/>
    <w:rsid w:val="00017CB6"/>
    <w:rsid w:val="00020A12"/>
    <w:rsid w:val="00020C55"/>
    <w:rsid w:val="000211F1"/>
    <w:rsid w:val="000230D4"/>
    <w:rsid w:val="00023996"/>
    <w:rsid w:val="00023DC3"/>
    <w:rsid w:val="00025D8A"/>
    <w:rsid w:val="00026E97"/>
    <w:rsid w:val="000319D1"/>
    <w:rsid w:val="00032065"/>
    <w:rsid w:val="000321B7"/>
    <w:rsid w:val="00032CAC"/>
    <w:rsid w:val="00032FF6"/>
    <w:rsid w:val="00035215"/>
    <w:rsid w:val="000363E6"/>
    <w:rsid w:val="000374BD"/>
    <w:rsid w:val="000375EC"/>
    <w:rsid w:val="00043DB5"/>
    <w:rsid w:val="0004400A"/>
    <w:rsid w:val="0004408A"/>
    <w:rsid w:val="00045140"/>
    <w:rsid w:val="00046E9A"/>
    <w:rsid w:val="000474BE"/>
    <w:rsid w:val="0005053A"/>
    <w:rsid w:val="000510B7"/>
    <w:rsid w:val="00051669"/>
    <w:rsid w:val="00052964"/>
    <w:rsid w:val="00055B91"/>
    <w:rsid w:val="000560B2"/>
    <w:rsid w:val="000563D0"/>
    <w:rsid w:val="00057FED"/>
    <w:rsid w:val="00060679"/>
    <w:rsid w:val="00061D3A"/>
    <w:rsid w:val="00063609"/>
    <w:rsid w:val="00063E49"/>
    <w:rsid w:val="0006624F"/>
    <w:rsid w:val="00066C46"/>
    <w:rsid w:val="000702F7"/>
    <w:rsid w:val="00070B5E"/>
    <w:rsid w:val="00071B3F"/>
    <w:rsid w:val="00071D43"/>
    <w:rsid w:val="00071E26"/>
    <w:rsid w:val="00071F56"/>
    <w:rsid w:val="00072F3A"/>
    <w:rsid w:val="00073AAA"/>
    <w:rsid w:val="00074568"/>
    <w:rsid w:val="000746F4"/>
    <w:rsid w:val="00074C04"/>
    <w:rsid w:val="000750B1"/>
    <w:rsid w:val="000759DC"/>
    <w:rsid w:val="00075B8F"/>
    <w:rsid w:val="000765BA"/>
    <w:rsid w:val="00077354"/>
    <w:rsid w:val="000774A8"/>
    <w:rsid w:val="00077E18"/>
    <w:rsid w:val="00080930"/>
    <w:rsid w:val="00081112"/>
    <w:rsid w:val="000812FB"/>
    <w:rsid w:val="000815CE"/>
    <w:rsid w:val="0008204B"/>
    <w:rsid w:val="00082E3A"/>
    <w:rsid w:val="00083378"/>
    <w:rsid w:val="00084257"/>
    <w:rsid w:val="00084F1A"/>
    <w:rsid w:val="00086A1F"/>
    <w:rsid w:val="00086C46"/>
    <w:rsid w:val="000872F8"/>
    <w:rsid w:val="00090682"/>
    <w:rsid w:val="000932C5"/>
    <w:rsid w:val="00094134"/>
    <w:rsid w:val="000971D3"/>
    <w:rsid w:val="00097E3E"/>
    <w:rsid w:val="000A07BF"/>
    <w:rsid w:val="000A0A84"/>
    <w:rsid w:val="000A2A14"/>
    <w:rsid w:val="000A3BC2"/>
    <w:rsid w:val="000A3D9A"/>
    <w:rsid w:val="000A54CA"/>
    <w:rsid w:val="000A5540"/>
    <w:rsid w:val="000A79C9"/>
    <w:rsid w:val="000A7BFE"/>
    <w:rsid w:val="000B0533"/>
    <w:rsid w:val="000B239A"/>
    <w:rsid w:val="000B2AD1"/>
    <w:rsid w:val="000B30F6"/>
    <w:rsid w:val="000B3CE7"/>
    <w:rsid w:val="000B4D7C"/>
    <w:rsid w:val="000B5B3A"/>
    <w:rsid w:val="000B744C"/>
    <w:rsid w:val="000B7CAC"/>
    <w:rsid w:val="000B7FB8"/>
    <w:rsid w:val="000C0476"/>
    <w:rsid w:val="000C2782"/>
    <w:rsid w:val="000C3BC7"/>
    <w:rsid w:val="000C4F96"/>
    <w:rsid w:val="000C50F2"/>
    <w:rsid w:val="000C5C89"/>
    <w:rsid w:val="000C5E9F"/>
    <w:rsid w:val="000C6557"/>
    <w:rsid w:val="000C6BC0"/>
    <w:rsid w:val="000D01AA"/>
    <w:rsid w:val="000D2457"/>
    <w:rsid w:val="000D458B"/>
    <w:rsid w:val="000D4E6D"/>
    <w:rsid w:val="000D59C8"/>
    <w:rsid w:val="000E1180"/>
    <w:rsid w:val="000E1C64"/>
    <w:rsid w:val="000E2F28"/>
    <w:rsid w:val="000E376F"/>
    <w:rsid w:val="000E4261"/>
    <w:rsid w:val="000E569E"/>
    <w:rsid w:val="000E5E84"/>
    <w:rsid w:val="000E63E8"/>
    <w:rsid w:val="000E67FE"/>
    <w:rsid w:val="000E6886"/>
    <w:rsid w:val="000E7B0F"/>
    <w:rsid w:val="000F138D"/>
    <w:rsid w:val="000F2902"/>
    <w:rsid w:val="000F33B7"/>
    <w:rsid w:val="000F3BC7"/>
    <w:rsid w:val="000F6ACF"/>
    <w:rsid w:val="0010172F"/>
    <w:rsid w:val="00103B2C"/>
    <w:rsid w:val="00104317"/>
    <w:rsid w:val="001138A9"/>
    <w:rsid w:val="00114243"/>
    <w:rsid w:val="00116BEE"/>
    <w:rsid w:val="00117280"/>
    <w:rsid w:val="0011759F"/>
    <w:rsid w:val="00117C9B"/>
    <w:rsid w:val="00120A39"/>
    <w:rsid w:val="00120E9B"/>
    <w:rsid w:val="00121768"/>
    <w:rsid w:val="001234E1"/>
    <w:rsid w:val="00124010"/>
    <w:rsid w:val="001261BB"/>
    <w:rsid w:val="0012721D"/>
    <w:rsid w:val="00130A54"/>
    <w:rsid w:val="00130F11"/>
    <w:rsid w:val="00132289"/>
    <w:rsid w:val="00132650"/>
    <w:rsid w:val="0013351A"/>
    <w:rsid w:val="001337BA"/>
    <w:rsid w:val="00134A18"/>
    <w:rsid w:val="00134E1E"/>
    <w:rsid w:val="00135B49"/>
    <w:rsid w:val="00136CBB"/>
    <w:rsid w:val="001373D3"/>
    <w:rsid w:val="00137B7E"/>
    <w:rsid w:val="00137E0B"/>
    <w:rsid w:val="00140863"/>
    <w:rsid w:val="00140ADE"/>
    <w:rsid w:val="001412AE"/>
    <w:rsid w:val="00141809"/>
    <w:rsid w:val="001419AB"/>
    <w:rsid w:val="001446FE"/>
    <w:rsid w:val="0014665F"/>
    <w:rsid w:val="0014716E"/>
    <w:rsid w:val="00147257"/>
    <w:rsid w:val="00147333"/>
    <w:rsid w:val="00147433"/>
    <w:rsid w:val="001477D0"/>
    <w:rsid w:val="00147AF9"/>
    <w:rsid w:val="00147EA9"/>
    <w:rsid w:val="00151F89"/>
    <w:rsid w:val="001520BC"/>
    <w:rsid w:val="001539F2"/>
    <w:rsid w:val="001550EB"/>
    <w:rsid w:val="0015588E"/>
    <w:rsid w:val="0015683E"/>
    <w:rsid w:val="001568C9"/>
    <w:rsid w:val="00157D1E"/>
    <w:rsid w:val="00161375"/>
    <w:rsid w:val="001616F7"/>
    <w:rsid w:val="00161B8B"/>
    <w:rsid w:val="0016793D"/>
    <w:rsid w:val="001704C5"/>
    <w:rsid w:val="00171241"/>
    <w:rsid w:val="00171780"/>
    <w:rsid w:val="00172B0E"/>
    <w:rsid w:val="00173199"/>
    <w:rsid w:val="00173AAA"/>
    <w:rsid w:val="0017524D"/>
    <w:rsid w:val="00175911"/>
    <w:rsid w:val="00175E78"/>
    <w:rsid w:val="00180497"/>
    <w:rsid w:val="001811B6"/>
    <w:rsid w:val="00183794"/>
    <w:rsid w:val="001840EF"/>
    <w:rsid w:val="00184357"/>
    <w:rsid w:val="00184671"/>
    <w:rsid w:val="0018505E"/>
    <w:rsid w:val="00186DF4"/>
    <w:rsid w:val="00187BF0"/>
    <w:rsid w:val="00191013"/>
    <w:rsid w:val="00192187"/>
    <w:rsid w:val="00192342"/>
    <w:rsid w:val="00194B16"/>
    <w:rsid w:val="0019503B"/>
    <w:rsid w:val="00197897"/>
    <w:rsid w:val="001A0855"/>
    <w:rsid w:val="001A0D85"/>
    <w:rsid w:val="001A10CD"/>
    <w:rsid w:val="001A3655"/>
    <w:rsid w:val="001A43D6"/>
    <w:rsid w:val="001A5A1C"/>
    <w:rsid w:val="001A5F78"/>
    <w:rsid w:val="001A7032"/>
    <w:rsid w:val="001A73A1"/>
    <w:rsid w:val="001A76A2"/>
    <w:rsid w:val="001A7DE8"/>
    <w:rsid w:val="001B1038"/>
    <w:rsid w:val="001B1094"/>
    <w:rsid w:val="001B2105"/>
    <w:rsid w:val="001B2151"/>
    <w:rsid w:val="001B2EED"/>
    <w:rsid w:val="001B47D6"/>
    <w:rsid w:val="001B4BA5"/>
    <w:rsid w:val="001B5317"/>
    <w:rsid w:val="001B54CF"/>
    <w:rsid w:val="001C0944"/>
    <w:rsid w:val="001C1BDF"/>
    <w:rsid w:val="001C334E"/>
    <w:rsid w:val="001C57BE"/>
    <w:rsid w:val="001C62AF"/>
    <w:rsid w:val="001C672E"/>
    <w:rsid w:val="001C7306"/>
    <w:rsid w:val="001C77AB"/>
    <w:rsid w:val="001D129C"/>
    <w:rsid w:val="001D22B1"/>
    <w:rsid w:val="001D2D53"/>
    <w:rsid w:val="001E028F"/>
    <w:rsid w:val="001E0AC5"/>
    <w:rsid w:val="001E0E9D"/>
    <w:rsid w:val="001E10F7"/>
    <w:rsid w:val="001E12D3"/>
    <w:rsid w:val="001E1A34"/>
    <w:rsid w:val="001E3E17"/>
    <w:rsid w:val="001E4F58"/>
    <w:rsid w:val="001E562E"/>
    <w:rsid w:val="001E63A0"/>
    <w:rsid w:val="001E678D"/>
    <w:rsid w:val="001E69D3"/>
    <w:rsid w:val="001E6F95"/>
    <w:rsid w:val="001F016B"/>
    <w:rsid w:val="001F0878"/>
    <w:rsid w:val="001F08B0"/>
    <w:rsid w:val="001F24B6"/>
    <w:rsid w:val="001F2797"/>
    <w:rsid w:val="001F31E8"/>
    <w:rsid w:val="001F367E"/>
    <w:rsid w:val="001F395A"/>
    <w:rsid w:val="001F3CDF"/>
    <w:rsid w:val="001F3D69"/>
    <w:rsid w:val="001F4387"/>
    <w:rsid w:val="001F4D14"/>
    <w:rsid w:val="001F4D7B"/>
    <w:rsid w:val="001F4F73"/>
    <w:rsid w:val="001F6042"/>
    <w:rsid w:val="001F621D"/>
    <w:rsid w:val="00200D78"/>
    <w:rsid w:val="00202F77"/>
    <w:rsid w:val="00204BF5"/>
    <w:rsid w:val="0020580A"/>
    <w:rsid w:val="0020653E"/>
    <w:rsid w:val="00206B41"/>
    <w:rsid w:val="00207D4F"/>
    <w:rsid w:val="002113DD"/>
    <w:rsid w:val="00211DE2"/>
    <w:rsid w:val="00212065"/>
    <w:rsid w:val="00212249"/>
    <w:rsid w:val="00214469"/>
    <w:rsid w:val="002146B5"/>
    <w:rsid w:val="002147BC"/>
    <w:rsid w:val="002205E9"/>
    <w:rsid w:val="00220E95"/>
    <w:rsid w:val="0022109B"/>
    <w:rsid w:val="00222A79"/>
    <w:rsid w:val="00222C10"/>
    <w:rsid w:val="0022356A"/>
    <w:rsid w:val="00224312"/>
    <w:rsid w:val="00226059"/>
    <w:rsid w:val="002261F0"/>
    <w:rsid w:val="0022773A"/>
    <w:rsid w:val="00232A87"/>
    <w:rsid w:val="00232E3D"/>
    <w:rsid w:val="00232FDA"/>
    <w:rsid w:val="0023514B"/>
    <w:rsid w:val="00235405"/>
    <w:rsid w:val="00235BE9"/>
    <w:rsid w:val="002362BD"/>
    <w:rsid w:val="00237833"/>
    <w:rsid w:val="0024219C"/>
    <w:rsid w:val="00242A52"/>
    <w:rsid w:val="002436B8"/>
    <w:rsid w:val="002456E9"/>
    <w:rsid w:val="00245C8E"/>
    <w:rsid w:val="00251834"/>
    <w:rsid w:val="00253196"/>
    <w:rsid w:val="002541CD"/>
    <w:rsid w:val="00256108"/>
    <w:rsid w:val="00256E9F"/>
    <w:rsid w:val="00256EE9"/>
    <w:rsid w:val="0025709C"/>
    <w:rsid w:val="00257BC8"/>
    <w:rsid w:val="002615D0"/>
    <w:rsid w:val="0026216C"/>
    <w:rsid w:val="002622E5"/>
    <w:rsid w:val="00264183"/>
    <w:rsid w:val="00265048"/>
    <w:rsid w:val="0026573B"/>
    <w:rsid w:val="00266168"/>
    <w:rsid w:val="00266C70"/>
    <w:rsid w:val="00266D04"/>
    <w:rsid w:val="002674CA"/>
    <w:rsid w:val="00271489"/>
    <w:rsid w:val="00271711"/>
    <w:rsid w:val="00271B9A"/>
    <w:rsid w:val="002727BF"/>
    <w:rsid w:val="002733DA"/>
    <w:rsid w:val="00274462"/>
    <w:rsid w:val="0027495D"/>
    <w:rsid w:val="00275A2F"/>
    <w:rsid w:val="00275C80"/>
    <w:rsid w:val="00276F5A"/>
    <w:rsid w:val="00277190"/>
    <w:rsid w:val="00277270"/>
    <w:rsid w:val="00277E6A"/>
    <w:rsid w:val="00281C59"/>
    <w:rsid w:val="00281DD7"/>
    <w:rsid w:val="00282EFC"/>
    <w:rsid w:val="00283D87"/>
    <w:rsid w:val="00283E7F"/>
    <w:rsid w:val="00283ED6"/>
    <w:rsid w:val="00285424"/>
    <w:rsid w:val="002910EB"/>
    <w:rsid w:val="00291C23"/>
    <w:rsid w:val="002945CE"/>
    <w:rsid w:val="00294C71"/>
    <w:rsid w:val="00296763"/>
    <w:rsid w:val="002970DF"/>
    <w:rsid w:val="002A100B"/>
    <w:rsid w:val="002A2083"/>
    <w:rsid w:val="002A2A60"/>
    <w:rsid w:val="002A3A44"/>
    <w:rsid w:val="002A3D8D"/>
    <w:rsid w:val="002A496F"/>
    <w:rsid w:val="002A4A2C"/>
    <w:rsid w:val="002A5F50"/>
    <w:rsid w:val="002A789A"/>
    <w:rsid w:val="002A789B"/>
    <w:rsid w:val="002B1437"/>
    <w:rsid w:val="002B250A"/>
    <w:rsid w:val="002B2A40"/>
    <w:rsid w:val="002B3242"/>
    <w:rsid w:val="002B4153"/>
    <w:rsid w:val="002B7874"/>
    <w:rsid w:val="002C09A7"/>
    <w:rsid w:val="002C1236"/>
    <w:rsid w:val="002C2084"/>
    <w:rsid w:val="002C2087"/>
    <w:rsid w:val="002C21D1"/>
    <w:rsid w:val="002C3456"/>
    <w:rsid w:val="002C407D"/>
    <w:rsid w:val="002C5988"/>
    <w:rsid w:val="002C6216"/>
    <w:rsid w:val="002C79FC"/>
    <w:rsid w:val="002C7ADD"/>
    <w:rsid w:val="002C7BB0"/>
    <w:rsid w:val="002D31D6"/>
    <w:rsid w:val="002D3DE2"/>
    <w:rsid w:val="002D69C2"/>
    <w:rsid w:val="002D76BB"/>
    <w:rsid w:val="002E01B1"/>
    <w:rsid w:val="002E0236"/>
    <w:rsid w:val="002E1E3C"/>
    <w:rsid w:val="002E25EF"/>
    <w:rsid w:val="002E2E8E"/>
    <w:rsid w:val="002E30A2"/>
    <w:rsid w:val="002E4377"/>
    <w:rsid w:val="002E4CF8"/>
    <w:rsid w:val="002E5D0A"/>
    <w:rsid w:val="002E6436"/>
    <w:rsid w:val="002F07AA"/>
    <w:rsid w:val="002F1EE8"/>
    <w:rsid w:val="002F3085"/>
    <w:rsid w:val="002F31C9"/>
    <w:rsid w:val="002F579B"/>
    <w:rsid w:val="003006BE"/>
    <w:rsid w:val="00300B48"/>
    <w:rsid w:val="00301755"/>
    <w:rsid w:val="00302613"/>
    <w:rsid w:val="00302F03"/>
    <w:rsid w:val="00303ABA"/>
    <w:rsid w:val="003064E1"/>
    <w:rsid w:val="003066E7"/>
    <w:rsid w:val="00310891"/>
    <w:rsid w:val="00310B10"/>
    <w:rsid w:val="00310C2C"/>
    <w:rsid w:val="003116E9"/>
    <w:rsid w:val="00312370"/>
    <w:rsid w:val="00312C6E"/>
    <w:rsid w:val="00312D76"/>
    <w:rsid w:val="003148CA"/>
    <w:rsid w:val="00316C92"/>
    <w:rsid w:val="00316FDB"/>
    <w:rsid w:val="00317303"/>
    <w:rsid w:val="00317F7D"/>
    <w:rsid w:val="003202EA"/>
    <w:rsid w:val="003205EE"/>
    <w:rsid w:val="00320BE4"/>
    <w:rsid w:val="00321738"/>
    <w:rsid w:val="00322169"/>
    <w:rsid w:val="00323DB1"/>
    <w:rsid w:val="00325071"/>
    <w:rsid w:val="00325CB8"/>
    <w:rsid w:val="00325F3B"/>
    <w:rsid w:val="00332D47"/>
    <w:rsid w:val="003335A4"/>
    <w:rsid w:val="003335AB"/>
    <w:rsid w:val="00333AA8"/>
    <w:rsid w:val="0033437A"/>
    <w:rsid w:val="00334834"/>
    <w:rsid w:val="00336319"/>
    <w:rsid w:val="00336B22"/>
    <w:rsid w:val="00337BD9"/>
    <w:rsid w:val="0034065E"/>
    <w:rsid w:val="00341CB5"/>
    <w:rsid w:val="00342FF0"/>
    <w:rsid w:val="00343702"/>
    <w:rsid w:val="00344473"/>
    <w:rsid w:val="003461E4"/>
    <w:rsid w:val="0034653B"/>
    <w:rsid w:val="003467BE"/>
    <w:rsid w:val="0034702D"/>
    <w:rsid w:val="003527FC"/>
    <w:rsid w:val="0035310E"/>
    <w:rsid w:val="00353D00"/>
    <w:rsid w:val="00356437"/>
    <w:rsid w:val="00356B1E"/>
    <w:rsid w:val="00361C3B"/>
    <w:rsid w:val="00362A30"/>
    <w:rsid w:val="00363333"/>
    <w:rsid w:val="00366126"/>
    <w:rsid w:val="0036672B"/>
    <w:rsid w:val="00366933"/>
    <w:rsid w:val="00370A7F"/>
    <w:rsid w:val="00370C2B"/>
    <w:rsid w:val="0037398E"/>
    <w:rsid w:val="00374CCD"/>
    <w:rsid w:val="00376B0B"/>
    <w:rsid w:val="00380311"/>
    <w:rsid w:val="00380DEF"/>
    <w:rsid w:val="0038161D"/>
    <w:rsid w:val="00382114"/>
    <w:rsid w:val="00382367"/>
    <w:rsid w:val="00382FF1"/>
    <w:rsid w:val="0038353E"/>
    <w:rsid w:val="00383DF7"/>
    <w:rsid w:val="003842E1"/>
    <w:rsid w:val="00384861"/>
    <w:rsid w:val="0038582A"/>
    <w:rsid w:val="00386F2B"/>
    <w:rsid w:val="00386FBB"/>
    <w:rsid w:val="00387A88"/>
    <w:rsid w:val="00387BB5"/>
    <w:rsid w:val="00391666"/>
    <w:rsid w:val="003918B5"/>
    <w:rsid w:val="003928BA"/>
    <w:rsid w:val="003928DD"/>
    <w:rsid w:val="0039494A"/>
    <w:rsid w:val="0039704E"/>
    <w:rsid w:val="003A056E"/>
    <w:rsid w:val="003A0798"/>
    <w:rsid w:val="003A40EE"/>
    <w:rsid w:val="003A433D"/>
    <w:rsid w:val="003A5530"/>
    <w:rsid w:val="003A56CF"/>
    <w:rsid w:val="003A6749"/>
    <w:rsid w:val="003A7468"/>
    <w:rsid w:val="003B1F2C"/>
    <w:rsid w:val="003B2F37"/>
    <w:rsid w:val="003B5427"/>
    <w:rsid w:val="003B6D3D"/>
    <w:rsid w:val="003B716E"/>
    <w:rsid w:val="003B7DD2"/>
    <w:rsid w:val="003C13CE"/>
    <w:rsid w:val="003C15C9"/>
    <w:rsid w:val="003C2104"/>
    <w:rsid w:val="003C2F31"/>
    <w:rsid w:val="003C3F77"/>
    <w:rsid w:val="003C4D8A"/>
    <w:rsid w:val="003C5CD5"/>
    <w:rsid w:val="003C5D36"/>
    <w:rsid w:val="003C6D0C"/>
    <w:rsid w:val="003C7C89"/>
    <w:rsid w:val="003C7CFB"/>
    <w:rsid w:val="003C7D26"/>
    <w:rsid w:val="003D12DC"/>
    <w:rsid w:val="003D1D09"/>
    <w:rsid w:val="003D4682"/>
    <w:rsid w:val="003D5781"/>
    <w:rsid w:val="003E02C0"/>
    <w:rsid w:val="003E0773"/>
    <w:rsid w:val="003E0A54"/>
    <w:rsid w:val="003E0F94"/>
    <w:rsid w:val="003E15FC"/>
    <w:rsid w:val="003E1B37"/>
    <w:rsid w:val="003E28FB"/>
    <w:rsid w:val="003E2912"/>
    <w:rsid w:val="003E34B7"/>
    <w:rsid w:val="003E38DB"/>
    <w:rsid w:val="003E462B"/>
    <w:rsid w:val="003E5731"/>
    <w:rsid w:val="003E62FC"/>
    <w:rsid w:val="003E7096"/>
    <w:rsid w:val="003E74F0"/>
    <w:rsid w:val="003F119B"/>
    <w:rsid w:val="003F3EB3"/>
    <w:rsid w:val="003F3F09"/>
    <w:rsid w:val="003F4361"/>
    <w:rsid w:val="003F5594"/>
    <w:rsid w:val="003F5FD4"/>
    <w:rsid w:val="003F61BE"/>
    <w:rsid w:val="003F6999"/>
    <w:rsid w:val="003F7478"/>
    <w:rsid w:val="00400C06"/>
    <w:rsid w:val="00400F30"/>
    <w:rsid w:val="0040158C"/>
    <w:rsid w:val="004027FB"/>
    <w:rsid w:val="00402BEB"/>
    <w:rsid w:val="00402BEC"/>
    <w:rsid w:val="00403669"/>
    <w:rsid w:val="00405D13"/>
    <w:rsid w:val="004065E5"/>
    <w:rsid w:val="00406921"/>
    <w:rsid w:val="00407997"/>
    <w:rsid w:val="004101E8"/>
    <w:rsid w:val="004102FA"/>
    <w:rsid w:val="004104C1"/>
    <w:rsid w:val="00412AE3"/>
    <w:rsid w:val="004130CC"/>
    <w:rsid w:val="00413D65"/>
    <w:rsid w:val="0041443A"/>
    <w:rsid w:val="0041596F"/>
    <w:rsid w:val="004200AB"/>
    <w:rsid w:val="004201C1"/>
    <w:rsid w:val="00420B11"/>
    <w:rsid w:val="00420FD4"/>
    <w:rsid w:val="004211DE"/>
    <w:rsid w:val="00422C59"/>
    <w:rsid w:val="00423C43"/>
    <w:rsid w:val="00424140"/>
    <w:rsid w:val="004243AD"/>
    <w:rsid w:val="004262B2"/>
    <w:rsid w:val="004274D9"/>
    <w:rsid w:val="00427760"/>
    <w:rsid w:val="004332F7"/>
    <w:rsid w:val="0043379F"/>
    <w:rsid w:val="0043420C"/>
    <w:rsid w:val="00435B82"/>
    <w:rsid w:val="004375F4"/>
    <w:rsid w:val="004406C2"/>
    <w:rsid w:val="00442F66"/>
    <w:rsid w:val="0044485E"/>
    <w:rsid w:val="0044557A"/>
    <w:rsid w:val="00446A6C"/>
    <w:rsid w:val="00446B37"/>
    <w:rsid w:val="00451AB9"/>
    <w:rsid w:val="004533CD"/>
    <w:rsid w:val="00453BC1"/>
    <w:rsid w:val="00454BED"/>
    <w:rsid w:val="00454EAE"/>
    <w:rsid w:val="004558DD"/>
    <w:rsid w:val="00456286"/>
    <w:rsid w:val="004566B8"/>
    <w:rsid w:val="00460A8E"/>
    <w:rsid w:val="004622C2"/>
    <w:rsid w:val="004627F2"/>
    <w:rsid w:val="0046413D"/>
    <w:rsid w:val="00464D72"/>
    <w:rsid w:val="004657D1"/>
    <w:rsid w:val="00466CDB"/>
    <w:rsid w:val="00472050"/>
    <w:rsid w:val="004724FF"/>
    <w:rsid w:val="00472535"/>
    <w:rsid w:val="0047328D"/>
    <w:rsid w:val="0047446C"/>
    <w:rsid w:val="00474F56"/>
    <w:rsid w:val="004804E4"/>
    <w:rsid w:val="0048053C"/>
    <w:rsid w:val="004821A8"/>
    <w:rsid w:val="00484C1F"/>
    <w:rsid w:val="0048564B"/>
    <w:rsid w:val="00486363"/>
    <w:rsid w:val="00487616"/>
    <w:rsid w:val="00487EDF"/>
    <w:rsid w:val="00487F41"/>
    <w:rsid w:val="00490576"/>
    <w:rsid w:val="004928DE"/>
    <w:rsid w:val="00493B6A"/>
    <w:rsid w:val="00493B78"/>
    <w:rsid w:val="0049439C"/>
    <w:rsid w:val="00494F1B"/>
    <w:rsid w:val="004957E5"/>
    <w:rsid w:val="004969FE"/>
    <w:rsid w:val="00497A9C"/>
    <w:rsid w:val="004A205D"/>
    <w:rsid w:val="004A4080"/>
    <w:rsid w:val="004A4166"/>
    <w:rsid w:val="004A5139"/>
    <w:rsid w:val="004A522D"/>
    <w:rsid w:val="004A52EB"/>
    <w:rsid w:val="004A6060"/>
    <w:rsid w:val="004A62AB"/>
    <w:rsid w:val="004A68DD"/>
    <w:rsid w:val="004A708E"/>
    <w:rsid w:val="004A7119"/>
    <w:rsid w:val="004A720C"/>
    <w:rsid w:val="004A75AF"/>
    <w:rsid w:val="004B3278"/>
    <w:rsid w:val="004B32BD"/>
    <w:rsid w:val="004B3833"/>
    <w:rsid w:val="004B3A46"/>
    <w:rsid w:val="004B3D2B"/>
    <w:rsid w:val="004B4080"/>
    <w:rsid w:val="004B59F7"/>
    <w:rsid w:val="004B610A"/>
    <w:rsid w:val="004B61CA"/>
    <w:rsid w:val="004B6AD3"/>
    <w:rsid w:val="004B7166"/>
    <w:rsid w:val="004B7D55"/>
    <w:rsid w:val="004C07E9"/>
    <w:rsid w:val="004C08E2"/>
    <w:rsid w:val="004C266D"/>
    <w:rsid w:val="004C2EE5"/>
    <w:rsid w:val="004C3144"/>
    <w:rsid w:val="004C38EE"/>
    <w:rsid w:val="004C709A"/>
    <w:rsid w:val="004D23D8"/>
    <w:rsid w:val="004D2789"/>
    <w:rsid w:val="004D4549"/>
    <w:rsid w:val="004D4F59"/>
    <w:rsid w:val="004D7556"/>
    <w:rsid w:val="004D7E67"/>
    <w:rsid w:val="004E00AB"/>
    <w:rsid w:val="004E1239"/>
    <w:rsid w:val="004E1319"/>
    <w:rsid w:val="004E2C7C"/>
    <w:rsid w:val="004E310D"/>
    <w:rsid w:val="004E4564"/>
    <w:rsid w:val="004E6281"/>
    <w:rsid w:val="004E7B20"/>
    <w:rsid w:val="004F05F9"/>
    <w:rsid w:val="004F1397"/>
    <w:rsid w:val="004F14F8"/>
    <w:rsid w:val="004F580E"/>
    <w:rsid w:val="004F59A1"/>
    <w:rsid w:val="004F6716"/>
    <w:rsid w:val="004F689C"/>
    <w:rsid w:val="004F765C"/>
    <w:rsid w:val="004F7E51"/>
    <w:rsid w:val="00500D51"/>
    <w:rsid w:val="00501A93"/>
    <w:rsid w:val="00502517"/>
    <w:rsid w:val="00502565"/>
    <w:rsid w:val="005035F6"/>
    <w:rsid w:val="00504EED"/>
    <w:rsid w:val="005051DD"/>
    <w:rsid w:val="00506AA5"/>
    <w:rsid w:val="005072D6"/>
    <w:rsid w:val="00507D25"/>
    <w:rsid w:val="00507EB6"/>
    <w:rsid w:val="0051000D"/>
    <w:rsid w:val="00511485"/>
    <w:rsid w:val="00513926"/>
    <w:rsid w:val="0051487E"/>
    <w:rsid w:val="00515CC2"/>
    <w:rsid w:val="00515EB4"/>
    <w:rsid w:val="00517192"/>
    <w:rsid w:val="005209D1"/>
    <w:rsid w:val="00520F5C"/>
    <w:rsid w:val="00521729"/>
    <w:rsid w:val="00523D88"/>
    <w:rsid w:val="00524EB3"/>
    <w:rsid w:val="00526D3B"/>
    <w:rsid w:val="00527B19"/>
    <w:rsid w:val="0053238F"/>
    <w:rsid w:val="005328C3"/>
    <w:rsid w:val="0053495E"/>
    <w:rsid w:val="00534F94"/>
    <w:rsid w:val="00535856"/>
    <w:rsid w:val="00535884"/>
    <w:rsid w:val="0053773E"/>
    <w:rsid w:val="0054024C"/>
    <w:rsid w:val="005409A6"/>
    <w:rsid w:val="00542668"/>
    <w:rsid w:val="00543480"/>
    <w:rsid w:val="00545A75"/>
    <w:rsid w:val="00546698"/>
    <w:rsid w:val="00551B32"/>
    <w:rsid w:val="00551F8B"/>
    <w:rsid w:val="00552075"/>
    <w:rsid w:val="00555BAB"/>
    <w:rsid w:val="0055631E"/>
    <w:rsid w:val="00556709"/>
    <w:rsid w:val="00556D57"/>
    <w:rsid w:val="005601B7"/>
    <w:rsid w:val="00561FCC"/>
    <w:rsid w:val="005622BD"/>
    <w:rsid w:val="005626AB"/>
    <w:rsid w:val="005630BB"/>
    <w:rsid w:val="00563B75"/>
    <w:rsid w:val="00564305"/>
    <w:rsid w:val="005649E2"/>
    <w:rsid w:val="00565665"/>
    <w:rsid w:val="00565746"/>
    <w:rsid w:val="00565753"/>
    <w:rsid w:val="00566601"/>
    <w:rsid w:val="00566956"/>
    <w:rsid w:val="00566B31"/>
    <w:rsid w:val="005672D2"/>
    <w:rsid w:val="00567D89"/>
    <w:rsid w:val="00567FA7"/>
    <w:rsid w:val="0057029E"/>
    <w:rsid w:val="005703BC"/>
    <w:rsid w:val="0057056E"/>
    <w:rsid w:val="00572C34"/>
    <w:rsid w:val="00573BD6"/>
    <w:rsid w:val="00574444"/>
    <w:rsid w:val="0057495D"/>
    <w:rsid w:val="0057517A"/>
    <w:rsid w:val="00575232"/>
    <w:rsid w:val="00575867"/>
    <w:rsid w:val="00575CCE"/>
    <w:rsid w:val="00575FD3"/>
    <w:rsid w:val="0058008A"/>
    <w:rsid w:val="0058037B"/>
    <w:rsid w:val="00580D29"/>
    <w:rsid w:val="00581D88"/>
    <w:rsid w:val="00585B95"/>
    <w:rsid w:val="00586CC6"/>
    <w:rsid w:val="0058745E"/>
    <w:rsid w:val="00587963"/>
    <w:rsid w:val="00590C33"/>
    <w:rsid w:val="00590D43"/>
    <w:rsid w:val="00591639"/>
    <w:rsid w:val="00591AFE"/>
    <w:rsid w:val="00592E4C"/>
    <w:rsid w:val="00592E99"/>
    <w:rsid w:val="00593380"/>
    <w:rsid w:val="00595943"/>
    <w:rsid w:val="00595DC4"/>
    <w:rsid w:val="00597790"/>
    <w:rsid w:val="005A19A8"/>
    <w:rsid w:val="005A1B8F"/>
    <w:rsid w:val="005A2739"/>
    <w:rsid w:val="005A3B17"/>
    <w:rsid w:val="005A4168"/>
    <w:rsid w:val="005A490F"/>
    <w:rsid w:val="005A52F6"/>
    <w:rsid w:val="005A6E9F"/>
    <w:rsid w:val="005B20FB"/>
    <w:rsid w:val="005B586E"/>
    <w:rsid w:val="005B5A59"/>
    <w:rsid w:val="005B5CC4"/>
    <w:rsid w:val="005B613F"/>
    <w:rsid w:val="005B6141"/>
    <w:rsid w:val="005B69F7"/>
    <w:rsid w:val="005B7450"/>
    <w:rsid w:val="005B75F8"/>
    <w:rsid w:val="005B7E5E"/>
    <w:rsid w:val="005C14DF"/>
    <w:rsid w:val="005C51FC"/>
    <w:rsid w:val="005C665A"/>
    <w:rsid w:val="005C6B77"/>
    <w:rsid w:val="005C6F6E"/>
    <w:rsid w:val="005C71AB"/>
    <w:rsid w:val="005D0E59"/>
    <w:rsid w:val="005D1098"/>
    <w:rsid w:val="005D1C9F"/>
    <w:rsid w:val="005D1EC6"/>
    <w:rsid w:val="005D2A45"/>
    <w:rsid w:val="005D52BC"/>
    <w:rsid w:val="005D670C"/>
    <w:rsid w:val="005D7788"/>
    <w:rsid w:val="005D7ACD"/>
    <w:rsid w:val="005E2B14"/>
    <w:rsid w:val="005E3F56"/>
    <w:rsid w:val="005E6033"/>
    <w:rsid w:val="005F0BC7"/>
    <w:rsid w:val="005F1763"/>
    <w:rsid w:val="005F34DB"/>
    <w:rsid w:val="005F41A6"/>
    <w:rsid w:val="005F470B"/>
    <w:rsid w:val="005F4A8A"/>
    <w:rsid w:val="005F57F3"/>
    <w:rsid w:val="005F5BC3"/>
    <w:rsid w:val="005F5F80"/>
    <w:rsid w:val="005F6872"/>
    <w:rsid w:val="005F6C8C"/>
    <w:rsid w:val="006005C8"/>
    <w:rsid w:val="006024F4"/>
    <w:rsid w:val="00602A0B"/>
    <w:rsid w:val="0060313E"/>
    <w:rsid w:val="00603156"/>
    <w:rsid w:val="00603AB2"/>
    <w:rsid w:val="00603B93"/>
    <w:rsid w:val="00603BAB"/>
    <w:rsid w:val="0060563A"/>
    <w:rsid w:val="006067C6"/>
    <w:rsid w:val="00606880"/>
    <w:rsid w:val="0061020D"/>
    <w:rsid w:val="00611875"/>
    <w:rsid w:val="00611DBB"/>
    <w:rsid w:val="0061315B"/>
    <w:rsid w:val="006132E7"/>
    <w:rsid w:val="0061369A"/>
    <w:rsid w:val="006146D4"/>
    <w:rsid w:val="006155F6"/>
    <w:rsid w:val="006156E2"/>
    <w:rsid w:val="006206DB"/>
    <w:rsid w:val="006208CC"/>
    <w:rsid w:val="006223AE"/>
    <w:rsid w:val="0062250B"/>
    <w:rsid w:val="00623212"/>
    <w:rsid w:val="00623684"/>
    <w:rsid w:val="006237AF"/>
    <w:rsid w:val="00623BC7"/>
    <w:rsid w:val="00623EB3"/>
    <w:rsid w:val="006241DD"/>
    <w:rsid w:val="006247AE"/>
    <w:rsid w:val="006262C3"/>
    <w:rsid w:val="006271D4"/>
    <w:rsid w:val="00632007"/>
    <w:rsid w:val="00632204"/>
    <w:rsid w:val="00632ADA"/>
    <w:rsid w:val="00634596"/>
    <w:rsid w:val="00634FA8"/>
    <w:rsid w:val="00635411"/>
    <w:rsid w:val="00635ADF"/>
    <w:rsid w:val="00636689"/>
    <w:rsid w:val="0064058D"/>
    <w:rsid w:val="00640ACB"/>
    <w:rsid w:val="006416E5"/>
    <w:rsid w:val="00643C7F"/>
    <w:rsid w:val="006448D5"/>
    <w:rsid w:val="00644EA9"/>
    <w:rsid w:val="00646C22"/>
    <w:rsid w:val="00647832"/>
    <w:rsid w:val="00650041"/>
    <w:rsid w:val="00652A25"/>
    <w:rsid w:val="006530D1"/>
    <w:rsid w:val="00656B11"/>
    <w:rsid w:val="0065713E"/>
    <w:rsid w:val="00657614"/>
    <w:rsid w:val="0065772B"/>
    <w:rsid w:val="00661B2E"/>
    <w:rsid w:val="00663352"/>
    <w:rsid w:val="00665467"/>
    <w:rsid w:val="0066581D"/>
    <w:rsid w:val="00665862"/>
    <w:rsid w:val="0066686A"/>
    <w:rsid w:val="00671732"/>
    <w:rsid w:val="00671D12"/>
    <w:rsid w:val="00672639"/>
    <w:rsid w:val="00675C2A"/>
    <w:rsid w:val="0067625C"/>
    <w:rsid w:val="00676B36"/>
    <w:rsid w:val="00677A5A"/>
    <w:rsid w:val="0068118D"/>
    <w:rsid w:val="0068153C"/>
    <w:rsid w:val="006815EC"/>
    <w:rsid w:val="00681D24"/>
    <w:rsid w:val="00682413"/>
    <w:rsid w:val="00683A99"/>
    <w:rsid w:val="00683E67"/>
    <w:rsid w:val="00684910"/>
    <w:rsid w:val="006849C4"/>
    <w:rsid w:val="0068506D"/>
    <w:rsid w:val="0068552B"/>
    <w:rsid w:val="00685675"/>
    <w:rsid w:val="006872CF"/>
    <w:rsid w:val="00695659"/>
    <w:rsid w:val="00697BA9"/>
    <w:rsid w:val="006A1091"/>
    <w:rsid w:val="006A3135"/>
    <w:rsid w:val="006A55A5"/>
    <w:rsid w:val="006A56C5"/>
    <w:rsid w:val="006A6F08"/>
    <w:rsid w:val="006A7D98"/>
    <w:rsid w:val="006B08C5"/>
    <w:rsid w:val="006B2B1F"/>
    <w:rsid w:val="006B4BAA"/>
    <w:rsid w:val="006B520B"/>
    <w:rsid w:val="006B6451"/>
    <w:rsid w:val="006B691D"/>
    <w:rsid w:val="006B6F23"/>
    <w:rsid w:val="006B7214"/>
    <w:rsid w:val="006C0B77"/>
    <w:rsid w:val="006C14F7"/>
    <w:rsid w:val="006C23D1"/>
    <w:rsid w:val="006C2781"/>
    <w:rsid w:val="006C422B"/>
    <w:rsid w:val="006C4810"/>
    <w:rsid w:val="006C5764"/>
    <w:rsid w:val="006C5FCB"/>
    <w:rsid w:val="006C6BFC"/>
    <w:rsid w:val="006C777A"/>
    <w:rsid w:val="006C7DA5"/>
    <w:rsid w:val="006D03FB"/>
    <w:rsid w:val="006D055A"/>
    <w:rsid w:val="006D2241"/>
    <w:rsid w:val="006D35DC"/>
    <w:rsid w:val="006D4ABE"/>
    <w:rsid w:val="006D4C2B"/>
    <w:rsid w:val="006D4EA8"/>
    <w:rsid w:val="006D5356"/>
    <w:rsid w:val="006D6DF6"/>
    <w:rsid w:val="006D6E20"/>
    <w:rsid w:val="006D7901"/>
    <w:rsid w:val="006E1270"/>
    <w:rsid w:val="006E1608"/>
    <w:rsid w:val="006E205A"/>
    <w:rsid w:val="006E27AE"/>
    <w:rsid w:val="006E3336"/>
    <w:rsid w:val="006E3E71"/>
    <w:rsid w:val="006E5146"/>
    <w:rsid w:val="006E53E6"/>
    <w:rsid w:val="006E5CD3"/>
    <w:rsid w:val="006E639E"/>
    <w:rsid w:val="006E7420"/>
    <w:rsid w:val="006F00D2"/>
    <w:rsid w:val="006F01CF"/>
    <w:rsid w:val="006F230C"/>
    <w:rsid w:val="006F2621"/>
    <w:rsid w:val="006F6CD6"/>
    <w:rsid w:val="006F735A"/>
    <w:rsid w:val="00700B65"/>
    <w:rsid w:val="00701F9E"/>
    <w:rsid w:val="00702B96"/>
    <w:rsid w:val="007035B2"/>
    <w:rsid w:val="00703EB5"/>
    <w:rsid w:val="007046F6"/>
    <w:rsid w:val="00704776"/>
    <w:rsid w:val="007118B5"/>
    <w:rsid w:val="00713BF9"/>
    <w:rsid w:val="00713F88"/>
    <w:rsid w:val="00714876"/>
    <w:rsid w:val="00715B42"/>
    <w:rsid w:val="007165D9"/>
    <w:rsid w:val="007177D7"/>
    <w:rsid w:val="0072175D"/>
    <w:rsid w:val="00721791"/>
    <w:rsid w:val="007218A0"/>
    <w:rsid w:val="00721EC7"/>
    <w:rsid w:val="00721FA7"/>
    <w:rsid w:val="007222BC"/>
    <w:rsid w:val="00722396"/>
    <w:rsid w:val="00724335"/>
    <w:rsid w:val="0072520F"/>
    <w:rsid w:val="007268F4"/>
    <w:rsid w:val="0072736F"/>
    <w:rsid w:val="007276C4"/>
    <w:rsid w:val="0072786E"/>
    <w:rsid w:val="00730451"/>
    <w:rsid w:val="007304B2"/>
    <w:rsid w:val="00731201"/>
    <w:rsid w:val="007314CC"/>
    <w:rsid w:val="00731BC5"/>
    <w:rsid w:val="00734BFD"/>
    <w:rsid w:val="007351C7"/>
    <w:rsid w:val="00735898"/>
    <w:rsid w:val="007369D9"/>
    <w:rsid w:val="00740841"/>
    <w:rsid w:val="00741739"/>
    <w:rsid w:val="007418FB"/>
    <w:rsid w:val="00741EAB"/>
    <w:rsid w:val="00742003"/>
    <w:rsid w:val="00745646"/>
    <w:rsid w:val="00746341"/>
    <w:rsid w:val="00746570"/>
    <w:rsid w:val="00747E45"/>
    <w:rsid w:val="00750F76"/>
    <w:rsid w:val="007511E4"/>
    <w:rsid w:val="00751CEB"/>
    <w:rsid w:val="0075200D"/>
    <w:rsid w:val="00754340"/>
    <w:rsid w:val="00756EAF"/>
    <w:rsid w:val="0075713C"/>
    <w:rsid w:val="007605E7"/>
    <w:rsid w:val="00760D47"/>
    <w:rsid w:val="00761625"/>
    <w:rsid w:val="00762019"/>
    <w:rsid w:val="0076228A"/>
    <w:rsid w:val="00763A82"/>
    <w:rsid w:val="007648FD"/>
    <w:rsid w:val="00764DD7"/>
    <w:rsid w:val="00770476"/>
    <w:rsid w:val="00770547"/>
    <w:rsid w:val="0077075E"/>
    <w:rsid w:val="007717F3"/>
    <w:rsid w:val="007725A1"/>
    <w:rsid w:val="00772FA2"/>
    <w:rsid w:val="007740D4"/>
    <w:rsid w:val="00774AAA"/>
    <w:rsid w:val="00775DAD"/>
    <w:rsid w:val="0077758D"/>
    <w:rsid w:val="0077778F"/>
    <w:rsid w:val="00777C7B"/>
    <w:rsid w:val="00782EB7"/>
    <w:rsid w:val="00783466"/>
    <w:rsid w:val="0078350E"/>
    <w:rsid w:val="00784358"/>
    <w:rsid w:val="00784BC3"/>
    <w:rsid w:val="00785014"/>
    <w:rsid w:val="00785EC7"/>
    <w:rsid w:val="00786502"/>
    <w:rsid w:val="0079102E"/>
    <w:rsid w:val="0079158E"/>
    <w:rsid w:val="00791825"/>
    <w:rsid w:val="0079197A"/>
    <w:rsid w:val="00793B51"/>
    <w:rsid w:val="00795D37"/>
    <w:rsid w:val="00796B11"/>
    <w:rsid w:val="00797D54"/>
    <w:rsid w:val="007A06A7"/>
    <w:rsid w:val="007A083E"/>
    <w:rsid w:val="007A0F78"/>
    <w:rsid w:val="007A1F98"/>
    <w:rsid w:val="007A37F8"/>
    <w:rsid w:val="007A624C"/>
    <w:rsid w:val="007A6290"/>
    <w:rsid w:val="007A68BD"/>
    <w:rsid w:val="007A739B"/>
    <w:rsid w:val="007A78D8"/>
    <w:rsid w:val="007A7A2A"/>
    <w:rsid w:val="007B13F9"/>
    <w:rsid w:val="007B1E38"/>
    <w:rsid w:val="007B2CF2"/>
    <w:rsid w:val="007B4061"/>
    <w:rsid w:val="007B44CC"/>
    <w:rsid w:val="007B4DE3"/>
    <w:rsid w:val="007B610B"/>
    <w:rsid w:val="007B6179"/>
    <w:rsid w:val="007B6E41"/>
    <w:rsid w:val="007C0422"/>
    <w:rsid w:val="007C04CF"/>
    <w:rsid w:val="007C0D43"/>
    <w:rsid w:val="007C2502"/>
    <w:rsid w:val="007C2A40"/>
    <w:rsid w:val="007C3535"/>
    <w:rsid w:val="007C3587"/>
    <w:rsid w:val="007C3A04"/>
    <w:rsid w:val="007C4D53"/>
    <w:rsid w:val="007C6C5A"/>
    <w:rsid w:val="007D083C"/>
    <w:rsid w:val="007D0866"/>
    <w:rsid w:val="007D12F9"/>
    <w:rsid w:val="007D3984"/>
    <w:rsid w:val="007D3E47"/>
    <w:rsid w:val="007D55EB"/>
    <w:rsid w:val="007D5D20"/>
    <w:rsid w:val="007D6F2F"/>
    <w:rsid w:val="007D7661"/>
    <w:rsid w:val="007E0B17"/>
    <w:rsid w:val="007E1AEC"/>
    <w:rsid w:val="007E1B11"/>
    <w:rsid w:val="007E2CBF"/>
    <w:rsid w:val="007E448B"/>
    <w:rsid w:val="007E4AE3"/>
    <w:rsid w:val="007E4B00"/>
    <w:rsid w:val="007E5E98"/>
    <w:rsid w:val="007F0E09"/>
    <w:rsid w:val="007F3100"/>
    <w:rsid w:val="007F3C87"/>
    <w:rsid w:val="007F3FD8"/>
    <w:rsid w:val="007F6305"/>
    <w:rsid w:val="007F7F1C"/>
    <w:rsid w:val="008020A4"/>
    <w:rsid w:val="008021D3"/>
    <w:rsid w:val="00803665"/>
    <w:rsid w:val="008041E5"/>
    <w:rsid w:val="00805C7E"/>
    <w:rsid w:val="00806128"/>
    <w:rsid w:val="00806E2B"/>
    <w:rsid w:val="008118B9"/>
    <w:rsid w:val="00811F58"/>
    <w:rsid w:val="0081211B"/>
    <w:rsid w:val="008150C3"/>
    <w:rsid w:val="008154CA"/>
    <w:rsid w:val="00817251"/>
    <w:rsid w:val="00817C94"/>
    <w:rsid w:val="0082162C"/>
    <w:rsid w:val="008216E7"/>
    <w:rsid w:val="00824FD7"/>
    <w:rsid w:val="00825CE9"/>
    <w:rsid w:val="008266BC"/>
    <w:rsid w:val="00826C50"/>
    <w:rsid w:val="008301E2"/>
    <w:rsid w:val="00830E2A"/>
    <w:rsid w:val="00833208"/>
    <w:rsid w:val="008336B1"/>
    <w:rsid w:val="008362AB"/>
    <w:rsid w:val="008362D8"/>
    <w:rsid w:val="00836639"/>
    <w:rsid w:val="008405A6"/>
    <w:rsid w:val="008414F3"/>
    <w:rsid w:val="00842787"/>
    <w:rsid w:val="00844029"/>
    <w:rsid w:val="00845BFC"/>
    <w:rsid w:val="00845F88"/>
    <w:rsid w:val="0084695E"/>
    <w:rsid w:val="00847A7C"/>
    <w:rsid w:val="008511E8"/>
    <w:rsid w:val="008518C2"/>
    <w:rsid w:val="00852DF9"/>
    <w:rsid w:val="0085348A"/>
    <w:rsid w:val="00853774"/>
    <w:rsid w:val="008552B5"/>
    <w:rsid w:val="00856031"/>
    <w:rsid w:val="0085759E"/>
    <w:rsid w:val="00860500"/>
    <w:rsid w:val="00861831"/>
    <w:rsid w:val="00862F7F"/>
    <w:rsid w:val="008654D8"/>
    <w:rsid w:val="008709F7"/>
    <w:rsid w:val="00871181"/>
    <w:rsid w:val="008723BC"/>
    <w:rsid w:val="00872B31"/>
    <w:rsid w:val="0087310A"/>
    <w:rsid w:val="0087355F"/>
    <w:rsid w:val="0087529D"/>
    <w:rsid w:val="008756B0"/>
    <w:rsid w:val="00875861"/>
    <w:rsid w:val="00876253"/>
    <w:rsid w:val="00880675"/>
    <w:rsid w:val="00882665"/>
    <w:rsid w:val="00884294"/>
    <w:rsid w:val="00885FF4"/>
    <w:rsid w:val="00887AF3"/>
    <w:rsid w:val="00887DC4"/>
    <w:rsid w:val="00891BE1"/>
    <w:rsid w:val="00891F3E"/>
    <w:rsid w:val="00892623"/>
    <w:rsid w:val="00892A55"/>
    <w:rsid w:val="00893B9F"/>
    <w:rsid w:val="00893CD7"/>
    <w:rsid w:val="00893E59"/>
    <w:rsid w:val="00893EBD"/>
    <w:rsid w:val="008955D4"/>
    <w:rsid w:val="008961AD"/>
    <w:rsid w:val="00896502"/>
    <w:rsid w:val="00896B65"/>
    <w:rsid w:val="0089715C"/>
    <w:rsid w:val="008975B4"/>
    <w:rsid w:val="008A1EF0"/>
    <w:rsid w:val="008A1F4F"/>
    <w:rsid w:val="008A2027"/>
    <w:rsid w:val="008A29CD"/>
    <w:rsid w:val="008A469D"/>
    <w:rsid w:val="008A48E5"/>
    <w:rsid w:val="008A4BD8"/>
    <w:rsid w:val="008A4EEB"/>
    <w:rsid w:val="008A55EC"/>
    <w:rsid w:val="008B09C3"/>
    <w:rsid w:val="008B1387"/>
    <w:rsid w:val="008B30D6"/>
    <w:rsid w:val="008B30F3"/>
    <w:rsid w:val="008B3196"/>
    <w:rsid w:val="008B31F9"/>
    <w:rsid w:val="008B5232"/>
    <w:rsid w:val="008B531F"/>
    <w:rsid w:val="008B5D5C"/>
    <w:rsid w:val="008B6408"/>
    <w:rsid w:val="008B7423"/>
    <w:rsid w:val="008C09D1"/>
    <w:rsid w:val="008C0D16"/>
    <w:rsid w:val="008C19D8"/>
    <w:rsid w:val="008C267A"/>
    <w:rsid w:val="008C3032"/>
    <w:rsid w:val="008C3A00"/>
    <w:rsid w:val="008C4F32"/>
    <w:rsid w:val="008C5DE7"/>
    <w:rsid w:val="008C7463"/>
    <w:rsid w:val="008D1767"/>
    <w:rsid w:val="008D50E6"/>
    <w:rsid w:val="008D6B30"/>
    <w:rsid w:val="008D784C"/>
    <w:rsid w:val="008D7D26"/>
    <w:rsid w:val="008E0585"/>
    <w:rsid w:val="008E064B"/>
    <w:rsid w:val="008E1DA3"/>
    <w:rsid w:val="008E2173"/>
    <w:rsid w:val="008E31AD"/>
    <w:rsid w:val="008E36EC"/>
    <w:rsid w:val="008E53DB"/>
    <w:rsid w:val="008E550A"/>
    <w:rsid w:val="008E5B2A"/>
    <w:rsid w:val="008E6203"/>
    <w:rsid w:val="008E6C09"/>
    <w:rsid w:val="008E75C0"/>
    <w:rsid w:val="008F0EA7"/>
    <w:rsid w:val="008F1187"/>
    <w:rsid w:val="008F3F37"/>
    <w:rsid w:val="008F430B"/>
    <w:rsid w:val="008F5273"/>
    <w:rsid w:val="00900494"/>
    <w:rsid w:val="0090098B"/>
    <w:rsid w:val="0090168E"/>
    <w:rsid w:val="00901AC7"/>
    <w:rsid w:val="00901D9D"/>
    <w:rsid w:val="009021C1"/>
    <w:rsid w:val="00902343"/>
    <w:rsid w:val="00902D46"/>
    <w:rsid w:val="009038C8"/>
    <w:rsid w:val="009038D6"/>
    <w:rsid w:val="009043B1"/>
    <w:rsid w:val="00904618"/>
    <w:rsid w:val="00904D6E"/>
    <w:rsid w:val="00904DE6"/>
    <w:rsid w:val="009051D9"/>
    <w:rsid w:val="00907BB4"/>
    <w:rsid w:val="00907E44"/>
    <w:rsid w:val="00911780"/>
    <w:rsid w:val="00911DC9"/>
    <w:rsid w:val="009128FB"/>
    <w:rsid w:val="009130F3"/>
    <w:rsid w:val="0091366F"/>
    <w:rsid w:val="00915AA9"/>
    <w:rsid w:val="009166C3"/>
    <w:rsid w:val="009217FF"/>
    <w:rsid w:val="00921F6C"/>
    <w:rsid w:val="00924AEB"/>
    <w:rsid w:val="00924D1E"/>
    <w:rsid w:val="009259D7"/>
    <w:rsid w:val="00926284"/>
    <w:rsid w:val="00926998"/>
    <w:rsid w:val="00926E9D"/>
    <w:rsid w:val="00927168"/>
    <w:rsid w:val="009271B4"/>
    <w:rsid w:val="00930F2E"/>
    <w:rsid w:val="009320B3"/>
    <w:rsid w:val="009328E1"/>
    <w:rsid w:val="009339CB"/>
    <w:rsid w:val="0093406D"/>
    <w:rsid w:val="00934109"/>
    <w:rsid w:val="00940224"/>
    <w:rsid w:val="0094082B"/>
    <w:rsid w:val="0094122D"/>
    <w:rsid w:val="00941C12"/>
    <w:rsid w:val="00943FF9"/>
    <w:rsid w:val="00946744"/>
    <w:rsid w:val="00946D85"/>
    <w:rsid w:val="009473AF"/>
    <w:rsid w:val="00947931"/>
    <w:rsid w:val="00947D90"/>
    <w:rsid w:val="00950C5F"/>
    <w:rsid w:val="00951467"/>
    <w:rsid w:val="009524CD"/>
    <w:rsid w:val="009525F0"/>
    <w:rsid w:val="00953414"/>
    <w:rsid w:val="00953801"/>
    <w:rsid w:val="009538EB"/>
    <w:rsid w:val="00954484"/>
    <w:rsid w:val="0095488D"/>
    <w:rsid w:val="00954F17"/>
    <w:rsid w:val="00954FD8"/>
    <w:rsid w:val="00956433"/>
    <w:rsid w:val="009574CC"/>
    <w:rsid w:val="009621CF"/>
    <w:rsid w:val="00964B61"/>
    <w:rsid w:val="00967699"/>
    <w:rsid w:val="00967C10"/>
    <w:rsid w:val="00967C78"/>
    <w:rsid w:val="00971762"/>
    <w:rsid w:val="00972EDB"/>
    <w:rsid w:val="00973193"/>
    <w:rsid w:val="00974546"/>
    <w:rsid w:val="00975A49"/>
    <w:rsid w:val="00976D02"/>
    <w:rsid w:val="00976F87"/>
    <w:rsid w:val="0098000D"/>
    <w:rsid w:val="00980050"/>
    <w:rsid w:val="009805D8"/>
    <w:rsid w:val="00981D95"/>
    <w:rsid w:val="009823A0"/>
    <w:rsid w:val="00982B92"/>
    <w:rsid w:val="00983340"/>
    <w:rsid w:val="0098359C"/>
    <w:rsid w:val="009840E2"/>
    <w:rsid w:val="00984933"/>
    <w:rsid w:val="00984DA2"/>
    <w:rsid w:val="009854EF"/>
    <w:rsid w:val="00985653"/>
    <w:rsid w:val="00986276"/>
    <w:rsid w:val="009865AC"/>
    <w:rsid w:val="00991F53"/>
    <w:rsid w:val="009921A9"/>
    <w:rsid w:val="00993227"/>
    <w:rsid w:val="00993254"/>
    <w:rsid w:val="00993682"/>
    <w:rsid w:val="009938D5"/>
    <w:rsid w:val="009947DC"/>
    <w:rsid w:val="00997B6D"/>
    <w:rsid w:val="009A1F13"/>
    <w:rsid w:val="009A3E3D"/>
    <w:rsid w:val="009A404B"/>
    <w:rsid w:val="009A49E5"/>
    <w:rsid w:val="009A571C"/>
    <w:rsid w:val="009A7524"/>
    <w:rsid w:val="009B02AA"/>
    <w:rsid w:val="009B253C"/>
    <w:rsid w:val="009B2796"/>
    <w:rsid w:val="009B3885"/>
    <w:rsid w:val="009B3E7F"/>
    <w:rsid w:val="009B441A"/>
    <w:rsid w:val="009B4B3F"/>
    <w:rsid w:val="009B6782"/>
    <w:rsid w:val="009B78E1"/>
    <w:rsid w:val="009C09AC"/>
    <w:rsid w:val="009C0C70"/>
    <w:rsid w:val="009C1119"/>
    <w:rsid w:val="009C302F"/>
    <w:rsid w:val="009C3E5B"/>
    <w:rsid w:val="009C4320"/>
    <w:rsid w:val="009C4F06"/>
    <w:rsid w:val="009C53DD"/>
    <w:rsid w:val="009C7682"/>
    <w:rsid w:val="009C7BA0"/>
    <w:rsid w:val="009C7D83"/>
    <w:rsid w:val="009D08AB"/>
    <w:rsid w:val="009D0915"/>
    <w:rsid w:val="009D29C8"/>
    <w:rsid w:val="009D2D69"/>
    <w:rsid w:val="009D3474"/>
    <w:rsid w:val="009D3B43"/>
    <w:rsid w:val="009D46B4"/>
    <w:rsid w:val="009D4A5B"/>
    <w:rsid w:val="009D5EB5"/>
    <w:rsid w:val="009E07E7"/>
    <w:rsid w:val="009E2CA1"/>
    <w:rsid w:val="009E30C6"/>
    <w:rsid w:val="009E325C"/>
    <w:rsid w:val="009E3CD3"/>
    <w:rsid w:val="009E4BC1"/>
    <w:rsid w:val="009E4DB3"/>
    <w:rsid w:val="009E518C"/>
    <w:rsid w:val="009E5C9D"/>
    <w:rsid w:val="009E60D3"/>
    <w:rsid w:val="009E6AC0"/>
    <w:rsid w:val="009E6D0C"/>
    <w:rsid w:val="009E7837"/>
    <w:rsid w:val="009F04E8"/>
    <w:rsid w:val="009F0D43"/>
    <w:rsid w:val="009F2259"/>
    <w:rsid w:val="009F65E9"/>
    <w:rsid w:val="009F6D84"/>
    <w:rsid w:val="009F7689"/>
    <w:rsid w:val="009F7713"/>
    <w:rsid w:val="00A009A1"/>
    <w:rsid w:val="00A02D04"/>
    <w:rsid w:val="00A03F18"/>
    <w:rsid w:val="00A04149"/>
    <w:rsid w:val="00A043E7"/>
    <w:rsid w:val="00A04D6C"/>
    <w:rsid w:val="00A07C23"/>
    <w:rsid w:val="00A122BC"/>
    <w:rsid w:val="00A14976"/>
    <w:rsid w:val="00A158AE"/>
    <w:rsid w:val="00A213C9"/>
    <w:rsid w:val="00A21C78"/>
    <w:rsid w:val="00A2201E"/>
    <w:rsid w:val="00A22306"/>
    <w:rsid w:val="00A23D85"/>
    <w:rsid w:val="00A23DFE"/>
    <w:rsid w:val="00A25B74"/>
    <w:rsid w:val="00A32044"/>
    <w:rsid w:val="00A3399E"/>
    <w:rsid w:val="00A34193"/>
    <w:rsid w:val="00A343FB"/>
    <w:rsid w:val="00A35478"/>
    <w:rsid w:val="00A36371"/>
    <w:rsid w:val="00A369E0"/>
    <w:rsid w:val="00A36E62"/>
    <w:rsid w:val="00A36F14"/>
    <w:rsid w:val="00A41086"/>
    <w:rsid w:val="00A41785"/>
    <w:rsid w:val="00A417EB"/>
    <w:rsid w:val="00A442DB"/>
    <w:rsid w:val="00A46828"/>
    <w:rsid w:val="00A46F0C"/>
    <w:rsid w:val="00A47687"/>
    <w:rsid w:val="00A5126C"/>
    <w:rsid w:val="00A53651"/>
    <w:rsid w:val="00A5418B"/>
    <w:rsid w:val="00A5494B"/>
    <w:rsid w:val="00A55D88"/>
    <w:rsid w:val="00A56C31"/>
    <w:rsid w:val="00A57239"/>
    <w:rsid w:val="00A5730E"/>
    <w:rsid w:val="00A60A6D"/>
    <w:rsid w:val="00A6103E"/>
    <w:rsid w:val="00A61F52"/>
    <w:rsid w:val="00A62E9E"/>
    <w:rsid w:val="00A6450B"/>
    <w:rsid w:val="00A64736"/>
    <w:rsid w:val="00A64E04"/>
    <w:rsid w:val="00A653B4"/>
    <w:rsid w:val="00A66931"/>
    <w:rsid w:val="00A66C23"/>
    <w:rsid w:val="00A67EF3"/>
    <w:rsid w:val="00A70C18"/>
    <w:rsid w:val="00A70D1A"/>
    <w:rsid w:val="00A71049"/>
    <w:rsid w:val="00A715D2"/>
    <w:rsid w:val="00A72ED3"/>
    <w:rsid w:val="00A751B4"/>
    <w:rsid w:val="00A7687B"/>
    <w:rsid w:val="00A77D85"/>
    <w:rsid w:val="00A811E6"/>
    <w:rsid w:val="00A829EF"/>
    <w:rsid w:val="00A83F1E"/>
    <w:rsid w:val="00A8402A"/>
    <w:rsid w:val="00A842E9"/>
    <w:rsid w:val="00A848E3"/>
    <w:rsid w:val="00A87C67"/>
    <w:rsid w:val="00A93B6A"/>
    <w:rsid w:val="00A94B93"/>
    <w:rsid w:val="00A95E64"/>
    <w:rsid w:val="00A9669B"/>
    <w:rsid w:val="00A97224"/>
    <w:rsid w:val="00AA0B73"/>
    <w:rsid w:val="00AA12BC"/>
    <w:rsid w:val="00AA19B3"/>
    <w:rsid w:val="00AA1E17"/>
    <w:rsid w:val="00AA24D0"/>
    <w:rsid w:val="00AA2A24"/>
    <w:rsid w:val="00AA3174"/>
    <w:rsid w:val="00AA3504"/>
    <w:rsid w:val="00AA4986"/>
    <w:rsid w:val="00AA6DE1"/>
    <w:rsid w:val="00AB2777"/>
    <w:rsid w:val="00AB450A"/>
    <w:rsid w:val="00AB451D"/>
    <w:rsid w:val="00AB4646"/>
    <w:rsid w:val="00AB4AB8"/>
    <w:rsid w:val="00AB4EEE"/>
    <w:rsid w:val="00AB56E6"/>
    <w:rsid w:val="00AB6543"/>
    <w:rsid w:val="00AB70B2"/>
    <w:rsid w:val="00AB7916"/>
    <w:rsid w:val="00AC050A"/>
    <w:rsid w:val="00AC07A2"/>
    <w:rsid w:val="00AC21D2"/>
    <w:rsid w:val="00AC4067"/>
    <w:rsid w:val="00AC6C7A"/>
    <w:rsid w:val="00AC7D02"/>
    <w:rsid w:val="00AD13CA"/>
    <w:rsid w:val="00AD13E8"/>
    <w:rsid w:val="00AD18A8"/>
    <w:rsid w:val="00AD1A40"/>
    <w:rsid w:val="00AD4068"/>
    <w:rsid w:val="00AD50C6"/>
    <w:rsid w:val="00AD5D96"/>
    <w:rsid w:val="00AD7638"/>
    <w:rsid w:val="00AD7DE6"/>
    <w:rsid w:val="00AE0AD4"/>
    <w:rsid w:val="00AE0E92"/>
    <w:rsid w:val="00AE13A2"/>
    <w:rsid w:val="00AE1B8E"/>
    <w:rsid w:val="00AE1FEE"/>
    <w:rsid w:val="00AE3E48"/>
    <w:rsid w:val="00AE4926"/>
    <w:rsid w:val="00AE588A"/>
    <w:rsid w:val="00AE6275"/>
    <w:rsid w:val="00AE732D"/>
    <w:rsid w:val="00AE7976"/>
    <w:rsid w:val="00AF1C06"/>
    <w:rsid w:val="00AF1C90"/>
    <w:rsid w:val="00AF36E8"/>
    <w:rsid w:val="00AF370D"/>
    <w:rsid w:val="00AF3935"/>
    <w:rsid w:val="00AF66E1"/>
    <w:rsid w:val="00B00180"/>
    <w:rsid w:val="00B007BE"/>
    <w:rsid w:val="00B024C0"/>
    <w:rsid w:val="00B02A08"/>
    <w:rsid w:val="00B04A26"/>
    <w:rsid w:val="00B0500F"/>
    <w:rsid w:val="00B050BD"/>
    <w:rsid w:val="00B05579"/>
    <w:rsid w:val="00B0567B"/>
    <w:rsid w:val="00B05CAC"/>
    <w:rsid w:val="00B06042"/>
    <w:rsid w:val="00B0632B"/>
    <w:rsid w:val="00B0671F"/>
    <w:rsid w:val="00B06C9D"/>
    <w:rsid w:val="00B075CF"/>
    <w:rsid w:val="00B076C3"/>
    <w:rsid w:val="00B10CF7"/>
    <w:rsid w:val="00B10D05"/>
    <w:rsid w:val="00B12265"/>
    <w:rsid w:val="00B14973"/>
    <w:rsid w:val="00B14C9A"/>
    <w:rsid w:val="00B152FD"/>
    <w:rsid w:val="00B15C02"/>
    <w:rsid w:val="00B1621C"/>
    <w:rsid w:val="00B166B1"/>
    <w:rsid w:val="00B16B15"/>
    <w:rsid w:val="00B171F0"/>
    <w:rsid w:val="00B172B9"/>
    <w:rsid w:val="00B177F2"/>
    <w:rsid w:val="00B21849"/>
    <w:rsid w:val="00B224B0"/>
    <w:rsid w:val="00B22A2A"/>
    <w:rsid w:val="00B22CE3"/>
    <w:rsid w:val="00B23A2D"/>
    <w:rsid w:val="00B23EC6"/>
    <w:rsid w:val="00B24D60"/>
    <w:rsid w:val="00B25010"/>
    <w:rsid w:val="00B26508"/>
    <w:rsid w:val="00B26753"/>
    <w:rsid w:val="00B26C48"/>
    <w:rsid w:val="00B302C0"/>
    <w:rsid w:val="00B3253D"/>
    <w:rsid w:val="00B325AD"/>
    <w:rsid w:val="00B3346E"/>
    <w:rsid w:val="00B35185"/>
    <w:rsid w:val="00B37A6B"/>
    <w:rsid w:val="00B453C4"/>
    <w:rsid w:val="00B45821"/>
    <w:rsid w:val="00B45FF2"/>
    <w:rsid w:val="00B50A14"/>
    <w:rsid w:val="00B528EF"/>
    <w:rsid w:val="00B5613B"/>
    <w:rsid w:val="00B56142"/>
    <w:rsid w:val="00B56477"/>
    <w:rsid w:val="00B576F0"/>
    <w:rsid w:val="00B603BD"/>
    <w:rsid w:val="00B61805"/>
    <w:rsid w:val="00B62EE5"/>
    <w:rsid w:val="00B6466F"/>
    <w:rsid w:val="00B64E28"/>
    <w:rsid w:val="00B66EBD"/>
    <w:rsid w:val="00B75080"/>
    <w:rsid w:val="00B773D6"/>
    <w:rsid w:val="00B779BE"/>
    <w:rsid w:val="00B80021"/>
    <w:rsid w:val="00B81F8E"/>
    <w:rsid w:val="00B84225"/>
    <w:rsid w:val="00B85BEB"/>
    <w:rsid w:val="00B8604E"/>
    <w:rsid w:val="00B87277"/>
    <w:rsid w:val="00B9071E"/>
    <w:rsid w:val="00B90C13"/>
    <w:rsid w:val="00B92F77"/>
    <w:rsid w:val="00B9343B"/>
    <w:rsid w:val="00B935DC"/>
    <w:rsid w:val="00B947C3"/>
    <w:rsid w:val="00B94852"/>
    <w:rsid w:val="00B9495D"/>
    <w:rsid w:val="00B94B03"/>
    <w:rsid w:val="00B957CD"/>
    <w:rsid w:val="00B97074"/>
    <w:rsid w:val="00B9727C"/>
    <w:rsid w:val="00BA20F2"/>
    <w:rsid w:val="00BA302A"/>
    <w:rsid w:val="00BA358D"/>
    <w:rsid w:val="00BA50A1"/>
    <w:rsid w:val="00BA55B0"/>
    <w:rsid w:val="00BA5A61"/>
    <w:rsid w:val="00BA69CA"/>
    <w:rsid w:val="00BA6D83"/>
    <w:rsid w:val="00BA7BE7"/>
    <w:rsid w:val="00BB07F2"/>
    <w:rsid w:val="00BB20A2"/>
    <w:rsid w:val="00BB4B42"/>
    <w:rsid w:val="00BB52AC"/>
    <w:rsid w:val="00BB762A"/>
    <w:rsid w:val="00BB7DA2"/>
    <w:rsid w:val="00BC02B3"/>
    <w:rsid w:val="00BC02BF"/>
    <w:rsid w:val="00BC1FDE"/>
    <w:rsid w:val="00BC40DE"/>
    <w:rsid w:val="00BC42B5"/>
    <w:rsid w:val="00BC6216"/>
    <w:rsid w:val="00BC628D"/>
    <w:rsid w:val="00BC7A28"/>
    <w:rsid w:val="00BD0323"/>
    <w:rsid w:val="00BD2530"/>
    <w:rsid w:val="00BD33E5"/>
    <w:rsid w:val="00BD40AB"/>
    <w:rsid w:val="00BD5980"/>
    <w:rsid w:val="00BD5A7B"/>
    <w:rsid w:val="00BD63BB"/>
    <w:rsid w:val="00BD6F91"/>
    <w:rsid w:val="00BD7D04"/>
    <w:rsid w:val="00BE1A32"/>
    <w:rsid w:val="00BE30AF"/>
    <w:rsid w:val="00BE4788"/>
    <w:rsid w:val="00BE55D7"/>
    <w:rsid w:val="00BE59D6"/>
    <w:rsid w:val="00BE6520"/>
    <w:rsid w:val="00BF1961"/>
    <w:rsid w:val="00BF3A76"/>
    <w:rsid w:val="00BF4949"/>
    <w:rsid w:val="00BF4BCB"/>
    <w:rsid w:val="00BF50F9"/>
    <w:rsid w:val="00BF52DC"/>
    <w:rsid w:val="00BF5DFF"/>
    <w:rsid w:val="00BF79DC"/>
    <w:rsid w:val="00BF7CEF"/>
    <w:rsid w:val="00BF7DBD"/>
    <w:rsid w:val="00C005AA"/>
    <w:rsid w:val="00C00FBE"/>
    <w:rsid w:val="00C01032"/>
    <w:rsid w:val="00C01E5A"/>
    <w:rsid w:val="00C01EAA"/>
    <w:rsid w:val="00C0212D"/>
    <w:rsid w:val="00C06DC2"/>
    <w:rsid w:val="00C10940"/>
    <w:rsid w:val="00C118C4"/>
    <w:rsid w:val="00C12251"/>
    <w:rsid w:val="00C127DD"/>
    <w:rsid w:val="00C13A5A"/>
    <w:rsid w:val="00C148C8"/>
    <w:rsid w:val="00C14EB5"/>
    <w:rsid w:val="00C16D8F"/>
    <w:rsid w:val="00C16F5C"/>
    <w:rsid w:val="00C1724D"/>
    <w:rsid w:val="00C20F9A"/>
    <w:rsid w:val="00C2154D"/>
    <w:rsid w:val="00C21A41"/>
    <w:rsid w:val="00C24BDA"/>
    <w:rsid w:val="00C2601A"/>
    <w:rsid w:val="00C26C57"/>
    <w:rsid w:val="00C2716D"/>
    <w:rsid w:val="00C27550"/>
    <w:rsid w:val="00C27F2D"/>
    <w:rsid w:val="00C31325"/>
    <w:rsid w:val="00C320C4"/>
    <w:rsid w:val="00C32D92"/>
    <w:rsid w:val="00C341FB"/>
    <w:rsid w:val="00C34894"/>
    <w:rsid w:val="00C3715C"/>
    <w:rsid w:val="00C37468"/>
    <w:rsid w:val="00C37815"/>
    <w:rsid w:val="00C37C1F"/>
    <w:rsid w:val="00C415FD"/>
    <w:rsid w:val="00C4242C"/>
    <w:rsid w:val="00C4262F"/>
    <w:rsid w:val="00C44953"/>
    <w:rsid w:val="00C44E32"/>
    <w:rsid w:val="00C465DA"/>
    <w:rsid w:val="00C473A4"/>
    <w:rsid w:val="00C5073D"/>
    <w:rsid w:val="00C50941"/>
    <w:rsid w:val="00C51B6D"/>
    <w:rsid w:val="00C51CB3"/>
    <w:rsid w:val="00C51D38"/>
    <w:rsid w:val="00C52675"/>
    <w:rsid w:val="00C536BC"/>
    <w:rsid w:val="00C546B9"/>
    <w:rsid w:val="00C5489D"/>
    <w:rsid w:val="00C569B5"/>
    <w:rsid w:val="00C56C41"/>
    <w:rsid w:val="00C61475"/>
    <w:rsid w:val="00C61F22"/>
    <w:rsid w:val="00C62118"/>
    <w:rsid w:val="00C6675E"/>
    <w:rsid w:val="00C67649"/>
    <w:rsid w:val="00C67779"/>
    <w:rsid w:val="00C70812"/>
    <w:rsid w:val="00C7408B"/>
    <w:rsid w:val="00C74854"/>
    <w:rsid w:val="00C75C72"/>
    <w:rsid w:val="00C77A70"/>
    <w:rsid w:val="00C77AA9"/>
    <w:rsid w:val="00C80AA3"/>
    <w:rsid w:val="00C813D4"/>
    <w:rsid w:val="00C8233E"/>
    <w:rsid w:val="00C82348"/>
    <w:rsid w:val="00C823AC"/>
    <w:rsid w:val="00C823ED"/>
    <w:rsid w:val="00C83C86"/>
    <w:rsid w:val="00C85C6B"/>
    <w:rsid w:val="00C86B7B"/>
    <w:rsid w:val="00C87C13"/>
    <w:rsid w:val="00C92AE4"/>
    <w:rsid w:val="00C9410B"/>
    <w:rsid w:val="00C94318"/>
    <w:rsid w:val="00C94CE8"/>
    <w:rsid w:val="00C94FBA"/>
    <w:rsid w:val="00CA0783"/>
    <w:rsid w:val="00CA12FC"/>
    <w:rsid w:val="00CA13EA"/>
    <w:rsid w:val="00CA314B"/>
    <w:rsid w:val="00CA40B8"/>
    <w:rsid w:val="00CA5DC7"/>
    <w:rsid w:val="00CA7F88"/>
    <w:rsid w:val="00CB01D1"/>
    <w:rsid w:val="00CB0274"/>
    <w:rsid w:val="00CB1DB6"/>
    <w:rsid w:val="00CB2B50"/>
    <w:rsid w:val="00CB3176"/>
    <w:rsid w:val="00CB4045"/>
    <w:rsid w:val="00CB4943"/>
    <w:rsid w:val="00CB5AE8"/>
    <w:rsid w:val="00CB643A"/>
    <w:rsid w:val="00CB66AB"/>
    <w:rsid w:val="00CB6EB8"/>
    <w:rsid w:val="00CB7515"/>
    <w:rsid w:val="00CB7BA9"/>
    <w:rsid w:val="00CB7E7F"/>
    <w:rsid w:val="00CC0A65"/>
    <w:rsid w:val="00CC0F97"/>
    <w:rsid w:val="00CC18A4"/>
    <w:rsid w:val="00CC2245"/>
    <w:rsid w:val="00CC289E"/>
    <w:rsid w:val="00CC29B7"/>
    <w:rsid w:val="00CC4088"/>
    <w:rsid w:val="00CC4C3D"/>
    <w:rsid w:val="00CC64F6"/>
    <w:rsid w:val="00CC6C98"/>
    <w:rsid w:val="00CD179E"/>
    <w:rsid w:val="00CD1943"/>
    <w:rsid w:val="00CD1CDB"/>
    <w:rsid w:val="00CD301D"/>
    <w:rsid w:val="00CD451F"/>
    <w:rsid w:val="00CD563D"/>
    <w:rsid w:val="00CE2792"/>
    <w:rsid w:val="00CE39A7"/>
    <w:rsid w:val="00CE4644"/>
    <w:rsid w:val="00CE4AC4"/>
    <w:rsid w:val="00CE523B"/>
    <w:rsid w:val="00CE52BB"/>
    <w:rsid w:val="00CE56CA"/>
    <w:rsid w:val="00CE5D05"/>
    <w:rsid w:val="00CE67B4"/>
    <w:rsid w:val="00CE6813"/>
    <w:rsid w:val="00CE76D6"/>
    <w:rsid w:val="00CE7D19"/>
    <w:rsid w:val="00CF1746"/>
    <w:rsid w:val="00CF4323"/>
    <w:rsid w:val="00CF4BFA"/>
    <w:rsid w:val="00CF5392"/>
    <w:rsid w:val="00CF562D"/>
    <w:rsid w:val="00CF74CF"/>
    <w:rsid w:val="00D00A4B"/>
    <w:rsid w:val="00D02107"/>
    <w:rsid w:val="00D024C3"/>
    <w:rsid w:val="00D02C4C"/>
    <w:rsid w:val="00D042F6"/>
    <w:rsid w:val="00D04B98"/>
    <w:rsid w:val="00D05107"/>
    <w:rsid w:val="00D05763"/>
    <w:rsid w:val="00D0617E"/>
    <w:rsid w:val="00D06E4F"/>
    <w:rsid w:val="00D10890"/>
    <w:rsid w:val="00D1094A"/>
    <w:rsid w:val="00D135D3"/>
    <w:rsid w:val="00D13B66"/>
    <w:rsid w:val="00D14B1E"/>
    <w:rsid w:val="00D15C1B"/>
    <w:rsid w:val="00D15C3F"/>
    <w:rsid w:val="00D16C82"/>
    <w:rsid w:val="00D2038E"/>
    <w:rsid w:val="00D20E68"/>
    <w:rsid w:val="00D2151F"/>
    <w:rsid w:val="00D22601"/>
    <w:rsid w:val="00D22D26"/>
    <w:rsid w:val="00D2387F"/>
    <w:rsid w:val="00D243FC"/>
    <w:rsid w:val="00D24ED0"/>
    <w:rsid w:val="00D2546E"/>
    <w:rsid w:val="00D259F5"/>
    <w:rsid w:val="00D2634D"/>
    <w:rsid w:val="00D27BAA"/>
    <w:rsid w:val="00D30431"/>
    <w:rsid w:val="00D32359"/>
    <w:rsid w:val="00D32CA3"/>
    <w:rsid w:val="00D33CB5"/>
    <w:rsid w:val="00D340A2"/>
    <w:rsid w:val="00D3473E"/>
    <w:rsid w:val="00D34AE8"/>
    <w:rsid w:val="00D4030E"/>
    <w:rsid w:val="00D403B4"/>
    <w:rsid w:val="00D40491"/>
    <w:rsid w:val="00D404C7"/>
    <w:rsid w:val="00D41A21"/>
    <w:rsid w:val="00D42911"/>
    <w:rsid w:val="00D42C62"/>
    <w:rsid w:val="00D43B1C"/>
    <w:rsid w:val="00D44051"/>
    <w:rsid w:val="00D450FA"/>
    <w:rsid w:val="00D4586E"/>
    <w:rsid w:val="00D466D5"/>
    <w:rsid w:val="00D46770"/>
    <w:rsid w:val="00D5048F"/>
    <w:rsid w:val="00D51898"/>
    <w:rsid w:val="00D54425"/>
    <w:rsid w:val="00D547F9"/>
    <w:rsid w:val="00D55E35"/>
    <w:rsid w:val="00D56ED0"/>
    <w:rsid w:val="00D571B4"/>
    <w:rsid w:val="00D6135D"/>
    <w:rsid w:val="00D61AE4"/>
    <w:rsid w:val="00D622B5"/>
    <w:rsid w:val="00D62408"/>
    <w:rsid w:val="00D64C15"/>
    <w:rsid w:val="00D65353"/>
    <w:rsid w:val="00D67D33"/>
    <w:rsid w:val="00D703A8"/>
    <w:rsid w:val="00D71B75"/>
    <w:rsid w:val="00D73434"/>
    <w:rsid w:val="00D74090"/>
    <w:rsid w:val="00D74635"/>
    <w:rsid w:val="00D7472F"/>
    <w:rsid w:val="00D75AC3"/>
    <w:rsid w:val="00D762AB"/>
    <w:rsid w:val="00D76D6E"/>
    <w:rsid w:val="00D77A66"/>
    <w:rsid w:val="00D77C9E"/>
    <w:rsid w:val="00D77DF0"/>
    <w:rsid w:val="00D82B44"/>
    <w:rsid w:val="00D84FCE"/>
    <w:rsid w:val="00D85AA2"/>
    <w:rsid w:val="00D86162"/>
    <w:rsid w:val="00D87A49"/>
    <w:rsid w:val="00D913F1"/>
    <w:rsid w:val="00D91C57"/>
    <w:rsid w:val="00D97F10"/>
    <w:rsid w:val="00DA02DB"/>
    <w:rsid w:val="00DA2696"/>
    <w:rsid w:val="00DA2C57"/>
    <w:rsid w:val="00DA2D1E"/>
    <w:rsid w:val="00DA32EC"/>
    <w:rsid w:val="00DA3883"/>
    <w:rsid w:val="00DA40A2"/>
    <w:rsid w:val="00DA5D96"/>
    <w:rsid w:val="00DA61E2"/>
    <w:rsid w:val="00DA6275"/>
    <w:rsid w:val="00DA6C51"/>
    <w:rsid w:val="00DA7FDB"/>
    <w:rsid w:val="00DB1364"/>
    <w:rsid w:val="00DB1F83"/>
    <w:rsid w:val="00DB6336"/>
    <w:rsid w:val="00DB6F29"/>
    <w:rsid w:val="00DC0102"/>
    <w:rsid w:val="00DC0245"/>
    <w:rsid w:val="00DC0442"/>
    <w:rsid w:val="00DC1293"/>
    <w:rsid w:val="00DC30AF"/>
    <w:rsid w:val="00DC5B57"/>
    <w:rsid w:val="00DC6F51"/>
    <w:rsid w:val="00DD1531"/>
    <w:rsid w:val="00DD1CD5"/>
    <w:rsid w:val="00DD1E68"/>
    <w:rsid w:val="00DD26F9"/>
    <w:rsid w:val="00DD2C27"/>
    <w:rsid w:val="00DD2EE2"/>
    <w:rsid w:val="00DD3738"/>
    <w:rsid w:val="00DD6E07"/>
    <w:rsid w:val="00DE1B4E"/>
    <w:rsid w:val="00DE255E"/>
    <w:rsid w:val="00DE373E"/>
    <w:rsid w:val="00DE3C0C"/>
    <w:rsid w:val="00DE5124"/>
    <w:rsid w:val="00DE576F"/>
    <w:rsid w:val="00DE660C"/>
    <w:rsid w:val="00DF001E"/>
    <w:rsid w:val="00DF015B"/>
    <w:rsid w:val="00DF0994"/>
    <w:rsid w:val="00DF1D21"/>
    <w:rsid w:val="00DF1F79"/>
    <w:rsid w:val="00DF2C7E"/>
    <w:rsid w:val="00DF348C"/>
    <w:rsid w:val="00DF67D5"/>
    <w:rsid w:val="00E01CF8"/>
    <w:rsid w:val="00E021DE"/>
    <w:rsid w:val="00E0257F"/>
    <w:rsid w:val="00E02CFD"/>
    <w:rsid w:val="00E0397B"/>
    <w:rsid w:val="00E03BF0"/>
    <w:rsid w:val="00E03CD0"/>
    <w:rsid w:val="00E0549C"/>
    <w:rsid w:val="00E06B27"/>
    <w:rsid w:val="00E06CAB"/>
    <w:rsid w:val="00E07082"/>
    <w:rsid w:val="00E07897"/>
    <w:rsid w:val="00E108C2"/>
    <w:rsid w:val="00E11FBD"/>
    <w:rsid w:val="00E13576"/>
    <w:rsid w:val="00E138C2"/>
    <w:rsid w:val="00E14019"/>
    <w:rsid w:val="00E20846"/>
    <w:rsid w:val="00E20B97"/>
    <w:rsid w:val="00E21682"/>
    <w:rsid w:val="00E247EB"/>
    <w:rsid w:val="00E265A3"/>
    <w:rsid w:val="00E26BAB"/>
    <w:rsid w:val="00E31E3D"/>
    <w:rsid w:val="00E31ED0"/>
    <w:rsid w:val="00E353B4"/>
    <w:rsid w:val="00E35DED"/>
    <w:rsid w:val="00E4039F"/>
    <w:rsid w:val="00E40EE7"/>
    <w:rsid w:val="00E41769"/>
    <w:rsid w:val="00E42075"/>
    <w:rsid w:val="00E4209E"/>
    <w:rsid w:val="00E4239A"/>
    <w:rsid w:val="00E4346A"/>
    <w:rsid w:val="00E45CE5"/>
    <w:rsid w:val="00E461B1"/>
    <w:rsid w:val="00E463ED"/>
    <w:rsid w:val="00E46AE2"/>
    <w:rsid w:val="00E46FBE"/>
    <w:rsid w:val="00E472E2"/>
    <w:rsid w:val="00E47D40"/>
    <w:rsid w:val="00E500CB"/>
    <w:rsid w:val="00E501CB"/>
    <w:rsid w:val="00E511E4"/>
    <w:rsid w:val="00E51D00"/>
    <w:rsid w:val="00E51E59"/>
    <w:rsid w:val="00E528FF"/>
    <w:rsid w:val="00E52AA2"/>
    <w:rsid w:val="00E52EF1"/>
    <w:rsid w:val="00E55B16"/>
    <w:rsid w:val="00E55BB1"/>
    <w:rsid w:val="00E62DEA"/>
    <w:rsid w:val="00E63858"/>
    <w:rsid w:val="00E64334"/>
    <w:rsid w:val="00E654F6"/>
    <w:rsid w:val="00E66FDD"/>
    <w:rsid w:val="00E67361"/>
    <w:rsid w:val="00E67531"/>
    <w:rsid w:val="00E67A23"/>
    <w:rsid w:val="00E67D26"/>
    <w:rsid w:val="00E70086"/>
    <w:rsid w:val="00E702CB"/>
    <w:rsid w:val="00E718C0"/>
    <w:rsid w:val="00E74051"/>
    <w:rsid w:val="00E743F8"/>
    <w:rsid w:val="00E75DBA"/>
    <w:rsid w:val="00E7715B"/>
    <w:rsid w:val="00E81C9F"/>
    <w:rsid w:val="00E83CEA"/>
    <w:rsid w:val="00E84C5F"/>
    <w:rsid w:val="00E8544A"/>
    <w:rsid w:val="00E85CE7"/>
    <w:rsid w:val="00E87022"/>
    <w:rsid w:val="00E87933"/>
    <w:rsid w:val="00E87ABD"/>
    <w:rsid w:val="00E91149"/>
    <w:rsid w:val="00E920AC"/>
    <w:rsid w:val="00E92D5F"/>
    <w:rsid w:val="00E92FAD"/>
    <w:rsid w:val="00E932F0"/>
    <w:rsid w:val="00E9362A"/>
    <w:rsid w:val="00E937C3"/>
    <w:rsid w:val="00E93FB0"/>
    <w:rsid w:val="00E95421"/>
    <w:rsid w:val="00E974F2"/>
    <w:rsid w:val="00E9769C"/>
    <w:rsid w:val="00EA0146"/>
    <w:rsid w:val="00EA2DA1"/>
    <w:rsid w:val="00EA652F"/>
    <w:rsid w:val="00EA6C03"/>
    <w:rsid w:val="00EA7B56"/>
    <w:rsid w:val="00EB1324"/>
    <w:rsid w:val="00EB3A3B"/>
    <w:rsid w:val="00EB3AE8"/>
    <w:rsid w:val="00EB3F3F"/>
    <w:rsid w:val="00EB4B53"/>
    <w:rsid w:val="00EB5AAE"/>
    <w:rsid w:val="00EC0E69"/>
    <w:rsid w:val="00EC22C6"/>
    <w:rsid w:val="00EC4F12"/>
    <w:rsid w:val="00ED0DA9"/>
    <w:rsid w:val="00ED1472"/>
    <w:rsid w:val="00ED14D9"/>
    <w:rsid w:val="00ED2111"/>
    <w:rsid w:val="00ED3EA9"/>
    <w:rsid w:val="00ED52C4"/>
    <w:rsid w:val="00ED591F"/>
    <w:rsid w:val="00ED5F99"/>
    <w:rsid w:val="00ED6075"/>
    <w:rsid w:val="00ED717A"/>
    <w:rsid w:val="00ED7206"/>
    <w:rsid w:val="00EE0DA2"/>
    <w:rsid w:val="00EE10C5"/>
    <w:rsid w:val="00EE15EC"/>
    <w:rsid w:val="00EE1EEA"/>
    <w:rsid w:val="00EE3D99"/>
    <w:rsid w:val="00EE482F"/>
    <w:rsid w:val="00EE6719"/>
    <w:rsid w:val="00EE74B4"/>
    <w:rsid w:val="00EF11D1"/>
    <w:rsid w:val="00EF132E"/>
    <w:rsid w:val="00EF1C66"/>
    <w:rsid w:val="00EF3DF2"/>
    <w:rsid w:val="00EF4401"/>
    <w:rsid w:val="00EF5BB9"/>
    <w:rsid w:val="00EF5F94"/>
    <w:rsid w:val="00EF7A8A"/>
    <w:rsid w:val="00F00C29"/>
    <w:rsid w:val="00F030EE"/>
    <w:rsid w:val="00F04020"/>
    <w:rsid w:val="00F04FD5"/>
    <w:rsid w:val="00F05140"/>
    <w:rsid w:val="00F07461"/>
    <w:rsid w:val="00F07B48"/>
    <w:rsid w:val="00F10B8C"/>
    <w:rsid w:val="00F1193F"/>
    <w:rsid w:val="00F12133"/>
    <w:rsid w:val="00F136C6"/>
    <w:rsid w:val="00F1534B"/>
    <w:rsid w:val="00F1678A"/>
    <w:rsid w:val="00F16A37"/>
    <w:rsid w:val="00F16F75"/>
    <w:rsid w:val="00F178E2"/>
    <w:rsid w:val="00F17ADC"/>
    <w:rsid w:val="00F2039E"/>
    <w:rsid w:val="00F210D9"/>
    <w:rsid w:val="00F215B0"/>
    <w:rsid w:val="00F21FF2"/>
    <w:rsid w:val="00F228CE"/>
    <w:rsid w:val="00F232E3"/>
    <w:rsid w:val="00F2571B"/>
    <w:rsid w:val="00F26EE4"/>
    <w:rsid w:val="00F30442"/>
    <w:rsid w:val="00F34E06"/>
    <w:rsid w:val="00F354AD"/>
    <w:rsid w:val="00F36D40"/>
    <w:rsid w:val="00F37F22"/>
    <w:rsid w:val="00F40384"/>
    <w:rsid w:val="00F40C0F"/>
    <w:rsid w:val="00F41121"/>
    <w:rsid w:val="00F41495"/>
    <w:rsid w:val="00F44938"/>
    <w:rsid w:val="00F45122"/>
    <w:rsid w:val="00F45B47"/>
    <w:rsid w:val="00F45E7B"/>
    <w:rsid w:val="00F45FBE"/>
    <w:rsid w:val="00F462F4"/>
    <w:rsid w:val="00F50226"/>
    <w:rsid w:val="00F51496"/>
    <w:rsid w:val="00F52FE0"/>
    <w:rsid w:val="00F53F9B"/>
    <w:rsid w:val="00F54BBF"/>
    <w:rsid w:val="00F55618"/>
    <w:rsid w:val="00F569FE"/>
    <w:rsid w:val="00F60B00"/>
    <w:rsid w:val="00F61825"/>
    <w:rsid w:val="00F62011"/>
    <w:rsid w:val="00F620E0"/>
    <w:rsid w:val="00F63156"/>
    <w:rsid w:val="00F63618"/>
    <w:rsid w:val="00F642C0"/>
    <w:rsid w:val="00F64405"/>
    <w:rsid w:val="00F6482F"/>
    <w:rsid w:val="00F655D1"/>
    <w:rsid w:val="00F67120"/>
    <w:rsid w:val="00F67671"/>
    <w:rsid w:val="00F67F1A"/>
    <w:rsid w:val="00F7068F"/>
    <w:rsid w:val="00F70A61"/>
    <w:rsid w:val="00F72CF1"/>
    <w:rsid w:val="00F731D4"/>
    <w:rsid w:val="00F74D6E"/>
    <w:rsid w:val="00F75A4C"/>
    <w:rsid w:val="00F76936"/>
    <w:rsid w:val="00F77595"/>
    <w:rsid w:val="00F821DC"/>
    <w:rsid w:val="00F8322E"/>
    <w:rsid w:val="00F8370D"/>
    <w:rsid w:val="00F85445"/>
    <w:rsid w:val="00F85523"/>
    <w:rsid w:val="00F85BCE"/>
    <w:rsid w:val="00F862C2"/>
    <w:rsid w:val="00F86EDB"/>
    <w:rsid w:val="00F8700B"/>
    <w:rsid w:val="00F91088"/>
    <w:rsid w:val="00F918A9"/>
    <w:rsid w:val="00F91A13"/>
    <w:rsid w:val="00F935AE"/>
    <w:rsid w:val="00F938EC"/>
    <w:rsid w:val="00F93F23"/>
    <w:rsid w:val="00F9413C"/>
    <w:rsid w:val="00F94508"/>
    <w:rsid w:val="00F96DB9"/>
    <w:rsid w:val="00FA1274"/>
    <w:rsid w:val="00FA2F03"/>
    <w:rsid w:val="00FA3271"/>
    <w:rsid w:val="00FA40C2"/>
    <w:rsid w:val="00FA6121"/>
    <w:rsid w:val="00FA62F0"/>
    <w:rsid w:val="00FA6B57"/>
    <w:rsid w:val="00FA7C48"/>
    <w:rsid w:val="00FB1352"/>
    <w:rsid w:val="00FB2720"/>
    <w:rsid w:val="00FB36F4"/>
    <w:rsid w:val="00FB42C8"/>
    <w:rsid w:val="00FB434F"/>
    <w:rsid w:val="00FC5DCE"/>
    <w:rsid w:val="00FC7149"/>
    <w:rsid w:val="00FC7CA0"/>
    <w:rsid w:val="00FD159D"/>
    <w:rsid w:val="00FD1712"/>
    <w:rsid w:val="00FD4D1D"/>
    <w:rsid w:val="00FD52A4"/>
    <w:rsid w:val="00FD5507"/>
    <w:rsid w:val="00FD6847"/>
    <w:rsid w:val="00FD7F43"/>
    <w:rsid w:val="00FE0169"/>
    <w:rsid w:val="00FE0BB6"/>
    <w:rsid w:val="00FE0C21"/>
    <w:rsid w:val="00FE1D7D"/>
    <w:rsid w:val="00FE2B61"/>
    <w:rsid w:val="00FE3F47"/>
    <w:rsid w:val="00FE4167"/>
    <w:rsid w:val="00FE62B1"/>
    <w:rsid w:val="00FE6B44"/>
    <w:rsid w:val="00FE7787"/>
    <w:rsid w:val="00FF0658"/>
    <w:rsid w:val="00FF0FD3"/>
    <w:rsid w:val="00FF331B"/>
    <w:rsid w:val="00FF36A6"/>
    <w:rsid w:val="00FF3EFC"/>
    <w:rsid w:val="00FF4081"/>
    <w:rsid w:val="00FF565D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3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List">
    <w:name w:val="List"/>
    <w:basedOn w:val="Normal"/>
    <w:rsid w:val="002261F0"/>
    <w:pPr>
      <w:ind w:left="283" w:hanging="283"/>
      <w:contextualSpacing/>
    </w:pPr>
  </w:style>
  <w:style w:type="paragraph" w:styleId="Salutation">
    <w:name w:val="Salutation"/>
    <w:basedOn w:val="Normal"/>
    <w:next w:val="Normal"/>
    <w:link w:val="SalutationChar"/>
    <w:rsid w:val="002261F0"/>
  </w:style>
  <w:style w:type="character" w:customStyle="1" w:styleId="SalutationChar">
    <w:name w:val="Salutation Char"/>
    <w:link w:val="Salutation"/>
    <w:rsid w:val="002261F0"/>
    <w:rPr>
      <w:rFonts w:ascii="Arial" w:hAnsi="Arial"/>
      <w:lang w:val="en-US" w:eastAsia="en-US"/>
    </w:rPr>
  </w:style>
  <w:style w:type="paragraph" w:styleId="Closing">
    <w:name w:val="Closing"/>
    <w:basedOn w:val="Normal"/>
    <w:link w:val="ClosingChar"/>
    <w:rsid w:val="002261F0"/>
    <w:pPr>
      <w:ind w:left="4252"/>
    </w:pPr>
  </w:style>
  <w:style w:type="character" w:customStyle="1" w:styleId="ClosingChar">
    <w:name w:val="Closing Char"/>
    <w:link w:val="Closing"/>
    <w:rsid w:val="002261F0"/>
    <w:rPr>
      <w:rFonts w:ascii="Arial" w:hAnsi="Arial"/>
      <w:lang w:val="en-US" w:eastAsia="en-US"/>
    </w:rPr>
  </w:style>
  <w:style w:type="paragraph" w:customStyle="1" w:styleId="InsideAddress">
    <w:name w:val="Inside Address"/>
    <w:basedOn w:val="Normal"/>
    <w:rsid w:val="002261F0"/>
  </w:style>
  <w:style w:type="paragraph" w:styleId="Signature">
    <w:name w:val="Signature"/>
    <w:basedOn w:val="Normal"/>
    <w:link w:val="SignatureChar"/>
    <w:rsid w:val="002261F0"/>
    <w:pPr>
      <w:ind w:left="4252"/>
    </w:pPr>
  </w:style>
  <w:style w:type="character" w:customStyle="1" w:styleId="SignatureChar">
    <w:name w:val="Signature Char"/>
    <w:link w:val="Signature"/>
    <w:rsid w:val="002261F0"/>
    <w:rPr>
      <w:rFonts w:ascii="Arial" w:hAnsi="Arial"/>
      <w:lang w:val="en-US" w:eastAsia="en-US"/>
    </w:rPr>
  </w:style>
  <w:style w:type="paragraph" w:customStyle="1" w:styleId="ReferenceLine">
    <w:name w:val="Reference Line"/>
    <w:basedOn w:val="BodyText"/>
    <w:rsid w:val="002261F0"/>
  </w:style>
  <w:style w:type="paragraph" w:styleId="BodyTextFirstIndent">
    <w:name w:val="Body Text First Indent"/>
    <w:basedOn w:val="BodyText"/>
    <w:link w:val="BodyTextFirstIndentChar"/>
    <w:rsid w:val="002261F0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Char">
    <w:name w:val="Body Text Char"/>
    <w:link w:val="BodyText"/>
    <w:rsid w:val="002261F0"/>
    <w:rPr>
      <w:lang w:eastAsia="en-US"/>
    </w:rPr>
  </w:style>
  <w:style w:type="character" w:customStyle="1" w:styleId="BodyTextFirstIndentChar">
    <w:name w:val="Body Text First Indent Char"/>
    <w:link w:val="BodyTextFirstIndent"/>
    <w:rsid w:val="002261F0"/>
    <w:rPr>
      <w:rFonts w:ascii="Arial" w:hAnsi="Arial"/>
      <w:lang w:val="en-US" w:eastAsia="en-US"/>
    </w:rPr>
  </w:style>
  <w:style w:type="paragraph" w:styleId="NormalWeb">
    <w:name w:val="Normal (Web)"/>
    <w:basedOn w:val="Normal"/>
    <w:rsid w:val="0004408A"/>
    <w:rPr>
      <w:rFonts w:ascii="Times New Roman" w:hAnsi="Times New Roman"/>
      <w:sz w:val="24"/>
      <w:szCs w:val="24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0B23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0B239A"/>
    <w:rPr>
      <w:rFonts w:ascii="Arial" w:hAnsi="Arial"/>
      <w:lang w:val="en-US"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qFormat/>
    <w:rsid w:val="000B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A7F"/>
    <w:pPr>
      <w:ind w:left="708"/>
    </w:pPr>
  </w:style>
  <w:style w:type="paragraph" w:styleId="BalloonText">
    <w:name w:val="Balloon Text"/>
    <w:basedOn w:val="Normal"/>
    <w:link w:val="BalloonTextChar"/>
    <w:rsid w:val="00156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83E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F938EC"/>
    <w:rPr>
      <w:rFonts w:ascii="Arial" w:hAnsi="Arial"/>
      <w:lang w:val="en-US" w:eastAsia="en-US"/>
    </w:rPr>
  </w:style>
  <w:style w:type="paragraph" w:styleId="CommentText">
    <w:name w:val="annotation text"/>
    <w:basedOn w:val="Normal"/>
    <w:link w:val="CommentTextChar"/>
    <w:rsid w:val="00CE67B4"/>
  </w:style>
  <w:style w:type="character" w:customStyle="1" w:styleId="CommentTextChar">
    <w:name w:val="Comment Text Char"/>
    <w:link w:val="CommentText"/>
    <w:rsid w:val="00CE67B4"/>
    <w:rPr>
      <w:rFonts w:ascii="Arial" w:hAnsi="Arial"/>
      <w:lang w:val="en-US" w:eastAsia="en-US"/>
    </w:rPr>
  </w:style>
  <w:style w:type="character" w:styleId="CommentReference">
    <w:name w:val="annotation reference"/>
    <w:uiPriority w:val="99"/>
    <w:unhideWhenUsed/>
    <w:rsid w:val="00CE67B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343B"/>
    <w:rPr>
      <w:b/>
      <w:bCs/>
    </w:rPr>
  </w:style>
  <w:style w:type="character" w:customStyle="1" w:styleId="CommentSubjectChar">
    <w:name w:val="Comment Subject Char"/>
    <w:link w:val="CommentSubject"/>
    <w:rsid w:val="00B9343B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1E028F"/>
    <w:rPr>
      <w:rFonts w:ascii="Arial" w:hAnsi="Arial"/>
      <w:lang w:val="en-US" w:eastAsia="en-US"/>
    </w:rPr>
  </w:style>
  <w:style w:type="character" w:styleId="FollowedHyperlink">
    <w:name w:val="FollowedHyperlink"/>
    <w:rsid w:val="009E518C"/>
    <w:rPr>
      <w:color w:val="954F72"/>
      <w:u w:val="single"/>
    </w:rPr>
  </w:style>
  <w:style w:type="table" w:styleId="TableGrid">
    <w:name w:val="Table Grid"/>
    <w:basedOn w:val="TableNormal"/>
    <w:rsid w:val="00AA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3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List">
    <w:name w:val="List"/>
    <w:basedOn w:val="Normal"/>
    <w:rsid w:val="002261F0"/>
    <w:pPr>
      <w:ind w:left="283" w:hanging="283"/>
      <w:contextualSpacing/>
    </w:pPr>
  </w:style>
  <w:style w:type="paragraph" w:styleId="Salutation">
    <w:name w:val="Salutation"/>
    <w:basedOn w:val="Normal"/>
    <w:next w:val="Normal"/>
    <w:link w:val="SalutationChar"/>
    <w:rsid w:val="002261F0"/>
  </w:style>
  <w:style w:type="character" w:customStyle="1" w:styleId="SalutationChar">
    <w:name w:val="Salutation Char"/>
    <w:link w:val="Salutation"/>
    <w:rsid w:val="002261F0"/>
    <w:rPr>
      <w:rFonts w:ascii="Arial" w:hAnsi="Arial"/>
      <w:lang w:val="en-US" w:eastAsia="en-US"/>
    </w:rPr>
  </w:style>
  <w:style w:type="paragraph" w:styleId="Closing">
    <w:name w:val="Closing"/>
    <w:basedOn w:val="Normal"/>
    <w:link w:val="ClosingChar"/>
    <w:rsid w:val="002261F0"/>
    <w:pPr>
      <w:ind w:left="4252"/>
    </w:pPr>
  </w:style>
  <w:style w:type="character" w:customStyle="1" w:styleId="ClosingChar">
    <w:name w:val="Closing Char"/>
    <w:link w:val="Closing"/>
    <w:rsid w:val="002261F0"/>
    <w:rPr>
      <w:rFonts w:ascii="Arial" w:hAnsi="Arial"/>
      <w:lang w:val="en-US" w:eastAsia="en-US"/>
    </w:rPr>
  </w:style>
  <w:style w:type="paragraph" w:customStyle="1" w:styleId="InsideAddress">
    <w:name w:val="Inside Address"/>
    <w:basedOn w:val="Normal"/>
    <w:rsid w:val="002261F0"/>
  </w:style>
  <w:style w:type="paragraph" w:styleId="Signature">
    <w:name w:val="Signature"/>
    <w:basedOn w:val="Normal"/>
    <w:link w:val="SignatureChar"/>
    <w:rsid w:val="002261F0"/>
    <w:pPr>
      <w:ind w:left="4252"/>
    </w:pPr>
  </w:style>
  <w:style w:type="character" w:customStyle="1" w:styleId="SignatureChar">
    <w:name w:val="Signature Char"/>
    <w:link w:val="Signature"/>
    <w:rsid w:val="002261F0"/>
    <w:rPr>
      <w:rFonts w:ascii="Arial" w:hAnsi="Arial"/>
      <w:lang w:val="en-US" w:eastAsia="en-US"/>
    </w:rPr>
  </w:style>
  <w:style w:type="paragraph" w:customStyle="1" w:styleId="ReferenceLine">
    <w:name w:val="Reference Line"/>
    <w:basedOn w:val="BodyText"/>
    <w:rsid w:val="002261F0"/>
  </w:style>
  <w:style w:type="paragraph" w:styleId="BodyTextFirstIndent">
    <w:name w:val="Body Text First Indent"/>
    <w:basedOn w:val="BodyText"/>
    <w:link w:val="BodyTextFirstIndentChar"/>
    <w:rsid w:val="002261F0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Char">
    <w:name w:val="Body Text Char"/>
    <w:link w:val="BodyText"/>
    <w:rsid w:val="002261F0"/>
    <w:rPr>
      <w:lang w:eastAsia="en-US"/>
    </w:rPr>
  </w:style>
  <w:style w:type="character" w:customStyle="1" w:styleId="BodyTextFirstIndentChar">
    <w:name w:val="Body Text First Indent Char"/>
    <w:link w:val="BodyTextFirstIndent"/>
    <w:rsid w:val="002261F0"/>
    <w:rPr>
      <w:rFonts w:ascii="Arial" w:hAnsi="Arial"/>
      <w:lang w:val="en-US" w:eastAsia="en-US"/>
    </w:rPr>
  </w:style>
  <w:style w:type="paragraph" w:styleId="NormalWeb">
    <w:name w:val="Normal (Web)"/>
    <w:basedOn w:val="Normal"/>
    <w:rsid w:val="0004408A"/>
    <w:rPr>
      <w:rFonts w:ascii="Times New Roman" w:hAnsi="Times New Roman"/>
      <w:sz w:val="24"/>
      <w:szCs w:val="24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0B23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0B239A"/>
    <w:rPr>
      <w:rFonts w:ascii="Arial" w:hAnsi="Arial"/>
      <w:lang w:val="en-US"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qFormat/>
    <w:rsid w:val="000B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A7F"/>
    <w:pPr>
      <w:ind w:left="708"/>
    </w:pPr>
  </w:style>
  <w:style w:type="paragraph" w:styleId="BalloonText">
    <w:name w:val="Balloon Text"/>
    <w:basedOn w:val="Normal"/>
    <w:link w:val="BalloonTextChar"/>
    <w:rsid w:val="00156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83E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F938EC"/>
    <w:rPr>
      <w:rFonts w:ascii="Arial" w:hAnsi="Arial"/>
      <w:lang w:val="en-US" w:eastAsia="en-US"/>
    </w:rPr>
  </w:style>
  <w:style w:type="paragraph" w:styleId="CommentText">
    <w:name w:val="annotation text"/>
    <w:basedOn w:val="Normal"/>
    <w:link w:val="CommentTextChar"/>
    <w:rsid w:val="00CE67B4"/>
  </w:style>
  <w:style w:type="character" w:customStyle="1" w:styleId="CommentTextChar">
    <w:name w:val="Comment Text Char"/>
    <w:link w:val="CommentText"/>
    <w:rsid w:val="00CE67B4"/>
    <w:rPr>
      <w:rFonts w:ascii="Arial" w:hAnsi="Arial"/>
      <w:lang w:val="en-US" w:eastAsia="en-US"/>
    </w:rPr>
  </w:style>
  <w:style w:type="character" w:styleId="CommentReference">
    <w:name w:val="annotation reference"/>
    <w:uiPriority w:val="99"/>
    <w:unhideWhenUsed/>
    <w:rsid w:val="00CE67B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343B"/>
    <w:rPr>
      <w:b/>
      <w:bCs/>
    </w:rPr>
  </w:style>
  <w:style w:type="character" w:customStyle="1" w:styleId="CommentSubjectChar">
    <w:name w:val="Comment Subject Char"/>
    <w:link w:val="CommentSubject"/>
    <w:rsid w:val="00B9343B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1E028F"/>
    <w:rPr>
      <w:rFonts w:ascii="Arial" w:hAnsi="Arial"/>
      <w:lang w:val="en-US" w:eastAsia="en-US"/>
    </w:rPr>
  </w:style>
  <w:style w:type="character" w:styleId="FollowedHyperlink">
    <w:name w:val="FollowedHyperlink"/>
    <w:rsid w:val="009E518C"/>
    <w:rPr>
      <w:color w:val="954F72"/>
      <w:u w:val="single"/>
    </w:rPr>
  </w:style>
  <w:style w:type="table" w:styleId="TableGrid">
    <w:name w:val="Table Grid"/>
    <w:basedOn w:val="TableNormal"/>
    <w:rsid w:val="00AA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81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759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24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7875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100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73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831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5752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1955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711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858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A761A-FC8A-4EC7-89C4-66E3490F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4448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Stefan Spasov</cp:lastModifiedBy>
  <cp:revision>2</cp:revision>
  <cp:lastPrinted>2017-01-12T09:37:00Z</cp:lastPrinted>
  <dcterms:created xsi:type="dcterms:W3CDTF">2025-02-10T13:04:00Z</dcterms:created>
  <dcterms:modified xsi:type="dcterms:W3CDTF">2025-02-10T13:04:00Z</dcterms:modified>
</cp:coreProperties>
</file>